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07E87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2462C">
              <w:rPr>
                <w:rFonts w:ascii="Times New Roman" w:hAnsi="Times New Roman" w:cs="Times New Roman"/>
                <w:b/>
                <w:bCs/>
                <w:sz w:val="24"/>
                <w:szCs w:val="24"/>
              </w:rPr>
              <w:t>28.septembrī</w:t>
            </w:r>
          </w:p>
        </w:tc>
        <w:tc>
          <w:tcPr>
            <w:tcW w:w="4678" w:type="dxa"/>
          </w:tcPr>
          <w:p w14:paraId="4CDBC07C" w14:textId="11FE05D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F259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777BD9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2462C" w:rsidRPr="00C2462C">
        <w:rPr>
          <w:b/>
        </w:rPr>
        <w:t>Beļavas pagastā ar nosaukumu “Gāršnieku mala</w:t>
      </w:r>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09F113B8"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Pr>
          <w:rFonts w:ascii="Times New Roman" w:hAnsi="Times New Roman" w:cs="Times New Roman"/>
          <w:sz w:val="24"/>
          <w:szCs w:val="24"/>
        </w:rPr>
        <w:t>2</w:t>
      </w:r>
      <w:r w:rsidR="00C2462C">
        <w:rPr>
          <w:rFonts w:ascii="Times New Roman" w:hAnsi="Times New Roman" w:cs="Times New Roman"/>
          <w:sz w:val="24"/>
          <w:szCs w:val="24"/>
        </w:rPr>
        <w:t>7</w:t>
      </w:r>
      <w:r>
        <w:rPr>
          <w:rFonts w:ascii="Times New Roman" w:hAnsi="Times New Roman" w:cs="Times New Roman"/>
          <w:sz w:val="24"/>
          <w:szCs w:val="24"/>
        </w:rPr>
        <w:t>.jū</w:t>
      </w:r>
      <w:r w:rsidR="00C2462C">
        <w:rPr>
          <w:rFonts w:ascii="Times New Roman" w:hAnsi="Times New Roman" w:cs="Times New Roman"/>
          <w:sz w:val="24"/>
          <w:szCs w:val="24"/>
        </w:rPr>
        <w:t>l</w:t>
      </w:r>
      <w:r>
        <w:rPr>
          <w:rFonts w:ascii="Times New Roman" w:hAnsi="Times New Roman" w:cs="Times New Roman"/>
          <w:sz w:val="24"/>
          <w:szCs w:val="24"/>
        </w:rPr>
        <w:t>ijā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C2462C">
        <w:rPr>
          <w:rFonts w:ascii="Times New Roman" w:hAnsi="Times New Roman" w:cs="Times New Roman"/>
          <w:sz w:val="24"/>
          <w:szCs w:val="24"/>
        </w:rPr>
        <w:t>710</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C2462C" w:rsidRPr="00C2462C">
        <w:rPr>
          <w:rFonts w:ascii="Times New Roman" w:hAnsi="Times New Roman" w:cs="Times New Roman"/>
          <w:sz w:val="24"/>
          <w:szCs w:val="24"/>
        </w:rPr>
        <w:t>Beļavas pagastā ar nosaukumu “Gāršnieku mala</w:t>
      </w:r>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10</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C2462C">
        <w:rPr>
          <w:rFonts w:ascii="Times New Roman" w:hAnsi="Times New Roman" w:cs="Times New Roman"/>
          <w:sz w:val="24"/>
          <w:szCs w:val="24"/>
        </w:rPr>
        <w:t>44</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 xml:space="preserve">nodot atsavināšanai kā starpgabalu Gulbenes novada pašvaldībai piederošo nekustamā </w:t>
      </w:r>
      <w:r w:rsidRPr="00EA72D3">
        <w:rPr>
          <w:rFonts w:ascii="Times New Roman" w:hAnsi="Times New Roman" w:cs="Times New Roman"/>
          <w:sz w:val="24"/>
          <w:szCs w:val="24"/>
        </w:rPr>
        <w:t xml:space="preserve">īpašuma </w:t>
      </w:r>
      <w:r w:rsidR="00C2462C" w:rsidRPr="00C2462C">
        <w:rPr>
          <w:rFonts w:ascii="Times New Roman" w:hAnsi="Times New Roman" w:cs="Times New Roman"/>
          <w:sz w:val="24"/>
          <w:szCs w:val="24"/>
        </w:rPr>
        <w:t>Beļavas pagastā ar nosaukumu “Gāršnieku mala”, kadastra numurs 5044 011 0087,</w:t>
      </w:r>
      <w:r w:rsidRPr="00EA72D3">
        <w:rPr>
          <w:rFonts w:ascii="Times New Roman" w:hAnsi="Times New Roman" w:cs="Times New Roman"/>
          <w:sz w:val="24"/>
          <w:szCs w:val="24"/>
        </w:rPr>
        <w:t xml:space="preserve"> 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4219AACA"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590206">
        <w:rPr>
          <w:rFonts w:ascii="Times New Roman" w:hAnsi="Times New Roman" w:cs="Times New Roman"/>
          <w:sz w:val="24"/>
          <w:szCs w:val="24"/>
        </w:rPr>
        <w:t>11.septembrī</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590206">
        <w:rPr>
          <w:rFonts w:ascii="Times New Roman" w:hAnsi="Times New Roman" w:cs="Times New Roman"/>
          <w:sz w:val="24"/>
          <w:szCs w:val="24"/>
        </w:rPr>
        <w:t>578</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590206" w:rsidRPr="00590206">
        <w:rPr>
          <w:rFonts w:ascii="Times New Roman" w:hAnsi="Times New Roman" w:cs="Times New Roman"/>
          <w:sz w:val="24"/>
          <w:szCs w:val="24"/>
        </w:rPr>
        <w:t>Beļavas pagastā ar nosaukumu “Gāršnieku mala”, kadastra numurs 5044 011 0087</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06E4AAC0"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2462C">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2462C">
        <w:rPr>
          <w:rFonts w:ascii="Times New Roman" w:hAnsi="Times New Roman" w:cs="Times New Roman"/>
          <w:sz w:val="24"/>
          <w:szCs w:val="24"/>
        </w:rPr>
        <w:t>128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w:t>
      </w:r>
      <w:r w:rsidR="00167C35" w:rsidRPr="00167C35">
        <w:rPr>
          <w:rFonts w:ascii="Times New Roman" w:hAnsi="Times New Roman" w:cs="Times New Roman"/>
          <w:sz w:val="24"/>
          <w:szCs w:val="24"/>
        </w:rPr>
        <w:lastRenderedPageBreak/>
        <w:t>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nosūta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un Attīstības un tautsaimniecības komitejas ieteikumu, atklāti balsojot</w:t>
      </w:r>
      <w:r w:rsidR="00590206" w:rsidRPr="00F0532A">
        <w:rPr>
          <w:rFonts w:ascii="Times New Roman" w:hAnsi="Times New Roman" w:cs="Times New Roman"/>
          <w:sz w:val="24"/>
          <w:szCs w:val="24"/>
        </w:rPr>
        <w:t xml:space="preserve">: </w:t>
      </w:r>
      <w:r w:rsidR="00590206" w:rsidRPr="00F0532A">
        <w:rPr>
          <w:rFonts w:ascii="Times New Roman" w:hAnsi="Times New Roman" w:cs="Times New Roman"/>
          <w:color w:val="000000"/>
          <w:sz w:val="24"/>
          <w:szCs w:val="24"/>
        </w:rPr>
        <w:t>PAR – ; PRET –; A</w:t>
      </w:r>
      <w:r w:rsidR="00590206">
        <w:rPr>
          <w:rFonts w:ascii="Times New Roman" w:hAnsi="Times New Roman" w:cs="Times New Roman"/>
          <w:color w:val="000000"/>
          <w:sz w:val="24"/>
          <w:szCs w:val="24"/>
        </w:rPr>
        <w:t xml:space="preserve">TTURAS –, Gulbenes novada dome </w:t>
      </w:r>
      <w:r w:rsidR="00590206" w:rsidRPr="00F0532A">
        <w:rPr>
          <w:rFonts w:ascii="Times New Roman" w:hAnsi="Times New Roman" w:cs="Times New Roman"/>
          <w:color w:val="000000"/>
          <w:sz w:val="24"/>
          <w:szCs w:val="24"/>
        </w:rPr>
        <w:t>NOLEMJ</w:t>
      </w:r>
      <w:r w:rsidRPr="00296CF6">
        <w:rPr>
          <w:rFonts w:ascii="Times New Roman" w:hAnsi="Times New Roman" w:cs="Times New Roman"/>
          <w:sz w:val="24"/>
          <w:szCs w:val="24"/>
        </w:rPr>
        <w:t>:</w:t>
      </w:r>
    </w:p>
    <w:p w14:paraId="40077CC6" w14:textId="59FB5073"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sidR="00C2462C" w:rsidRPr="00C2462C">
        <w:rPr>
          <w:rFonts w:ascii="Times New Roman" w:hAnsi="Times New Roman" w:cs="Times New Roman"/>
          <w:sz w:val="24"/>
          <w:szCs w:val="24"/>
        </w:rPr>
        <w:t>Beļavas pagastā ar nosaukumu “Gāršnieku mala”, kadastra numurs 5044 011 0087, sastāvā ietilpstošo zemes vienību ar kadastra apzīmējumu 5044 011 0087, 1,23 ha platībā, un uz tās esošo mežaudzi 0,72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C2462C">
        <w:rPr>
          <w:rFonts w:ascii="Times New Roman" w:hAnsi="Times New Roman" w:cs="Times New Roman"/>
          <w:sz w:val="24"/>
          <w:szCs w:val="24"/>
        </w:rPr>
        <w:t xml:space="preserve">5500 </w:t>
      </w:r>
      <w:r w:rsidRPr="008A7CE1">
        <w:rPr>
          <w:rFonts w:ascii="Times New Roman" w:hAnsi="Times New Roman" w:cs="Times New Roman"/>
          <w:color w:val="000000"/>
          <w:sz w:val="24"/>
          <w:szCs w:val="24"/>
        </w:rPr>
        <w:t>EUR (</w:t>
      </w:r>
      <w:r w:rsidR="00C2462C">
        <w:rPr>
          <w:rFonts w:ascii="Times New Roman" w:hAnsi="Times New Roman" w:cs="Times New Roman"/>
          <w:color w:val="000000"/>
          <w:sz w:val="24"/>
          <w:szCs w:val="24"/>
        </w:rPr>
        <w:t>pieci</w:t>
      </w:r>
      <w:r w:rsidRPr="008A7CE1">
        <w:rPr>
          <w:rFonts w:ascii="Times New Roman" w:hAnsi="Times New Roman" w:cs="Times New Roman"/>
          <w:color w:val="000000"/>
          <w:sz w:val="24"/>
          <w:szCs w:val="24"/>
        </w:rPr>
        <w:t xml:space="preserve"> tūksto</w:t>
      </w:r>
      <w:r w:rsidR="00C2462C">
        <w:rPr>
          <w:rFonts w:ascii="Times New Roman" w:hAnsi="Times New Roman" w:cs="Times New Roman"/>
          <w:color w:val="000000"/>
          <w:sz w:val="24"/>
          <w:szCs w:val="24"/>
        </w:rPr>
        <w:t>ši</w:t>
      </w:r>
      <w:r w:rsidRPr="008A7CE1">
        <w:rPr>
          <w:rFonts w:ascii="Times New Roman" w:hAnsi="Times New Roman" w:cs="Times New Roman"/>
          <w:color w:val="000000"/>
          <w:sz w:val="24"/>
          <w:szCs w:val="24"/>
        </w:rPr>
        <w:t xml:space="preserve"> </w:t>
      </w:r>
      <w:r w:rsidR="00C2462C">
        <w:rPr>
          <w:rFonts w:ascii="Times New Roman" w:hAnsi="Times New Roman" w:cs="Times New Roman"/>
          <w:color w:val="000000"/>
          <w:sz w:val="24"/>
          <w:szCs w:val="24"/>
        </w:rPr>
        <w:t>piec</w:t>
      </w:r>
      <w:r w:rsidRPr="008A7CE1">
        <w:rPr>
          <w:rFonts w:ascii="Times New Roman" w:hAnsi="Times New Roman" w:cs="Times New Roman"/>
          <w:color w:val="000000"/>
          <w:sz w:val="24"/>
          <w:szCs w:val="24"/>
        </w:rPr>
        <w:t xml:space="preserve">i simti </w:t>
      </w:r>
      <w:r w:rsidRPr="008A7CE1">
        <w:rPr>
          <w:rFonts w:ascii="Times New Roman" w:hAnsi="Times New Roman" w:cs="Times New Roman"/>
          <w:i/>
          <w:color w:val="000000"/>
          <w:sz w:val="24"/>
          <w:szCs w:val="24"/>
        </w:rPr>
        <w:t>euro</w:t>
      </w:r>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3777FF43"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bookmarkStart w:id="0" w:name="_Hlk145675302"/>
      <w:r w:rsidR="00C2462C" w:rsidRPr="00C2462C">
        <w:rPr>
          <w:rFonts w:ascii="Times New Roman" w:hAnsi="Times New Roman" w:cs="Times New Roman"/>
          <w:sz w:val="24"/>
          <w:szCs w:val="24"/>
        </w:rPr>
        <w:t>Beļavas pagastā ar nosaukumu “Gāršnieku mala”, kadastra numurs 5044 011 0087</w:t>
      </w:r>
      <w:bookmarkEnd w:id="0"/>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1622D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2462C">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0DE5D24" w:rsidR="00B24416" w:rsidRDefault="00C2462C" w:rsidP="00E75350">
      <w:pPr>
        <w:pStyle w:val="Pamatteksts"/>
        <w:spacing w:after="0"/>
        <w:jc w:val="center"/>
        <w:rPr>
          <w:rFonts w:ascii="Times New Roman" w:hAnsi="Times New Roman" w:cs="Times New Roman"/>
          <w:b/>
          <w:caps/>
          <w:sz w:val="24"/>
          <w:szCs w:val="24"/>
        </w:rPr>
      </w:pPr>
      <w:r w:rsidRPr="00C2462C">
        <w:rPr>
          <w:rFonts w:ascii="Times New Roman" w:hAnsi="Times New Roman" w:cs="Times New Roman"/>
          <w:b/>
          <w:caps/>
          <w:sz w:val="24"/>
          <w:szCs w:val="24"/>
        </w:rPr>
        <w:t>Beļavas pagastā ar nosaukumu “Gāršnieku mala”</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15C5D9B5"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C2462C" w:rsidRPr="00C2462C">
        <w:rPr>
          <w:rFonts w:ascii="Times New Roman" w:eastAsia="SimSun" w:hAnsi="Times New Roman" w:cs="Mangal"/>
          <w:color w:val="00000A"/>
          <w:sz w:val="24"/>
          <w:szCs w:val="24"/>
          <w:lang w:eastAsia="zh-CN" w:bidi="hi-IN"/>
        </w:rPr>
        <w:t>Beļavas pagastā ar nosaukumu “Gāršnieku mala”, kadastra numurs 5044 011 0087</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0ABF241D"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C2462C" w:rsidRPr="00C2462C">
        <w:rPr>
          <w:rFonts w:ascii="Times New Roman" w:eastAsia="SimSun" w:hAnsi="Times New Roman" w:cs="Mangal"/>
          <w:color w:val="00000A"/>
          <w:sz w:val="24"/>
          <w:szCs w:val="24"/>
          <w:lang w:eastAsia="zh-CN" w:bidi="hi-IN"/>
        </w:rPr>
        <w:t>Beļavas pagastā ar nosaukumu “Gāršnieku mala”, kadastra numurs 5044 011 0087, sastāvā ietilpstošo zemes vienību ar kadastra apzīmējumu 5044 011 0087, 1,23 ha platībā, un uz tās esošo mežaudzi 0,72 ha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14099EF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C2462C">
        <w:rPr>
          <w:rFonts w:ascii="Times New Roman" w:hAnsi="Times New Roman" w:cs="Times New Roman"/>
          <w:color w:val="000000"/>
          <w:sz w:val="24"/>
          <w:szCs w:val="24"/>
        </w:rPr>
        <w:t>Beļavas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C2462C" w:rsidRPr="00C2462C">
        <w:rPr>
          <w:rFonts w:ascii="Times New Roman" w:hAnsi="Times New Roman" w:cs="Times New Roman"/>
          <w:color w:val="000000"/>
          <w:sz w:val="24"/>
          <w:szCs w:val="24"/>
        </w:rPr>
        <w:t>100000707357</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C2462C">
        <w:rPr>
          <w:rFonts w:ascii="Times New Roman" w:hAnsi="Times New Roman" w:cs="Times New Roman"/>
          <w:color w:val="000000"/>
          <w:sz w:val="24"/>
          <w:szCs w:val="24"/>
        </w:rPr>
        <w:t>4.jūlijā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starpgabalam piegul šādas zemes vienības: </w:t>
      </w:r>
    </w:p>
    <w:p w14:paraId="1A77CEA6" w14:textId="11912F22"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C2462C" w:rsidRPr="00C2462C">
        <w:rPr>
          <w:rFonts w:ascii="Times New Roman" w:hAnsi="Times New Roman" w:cs="Times New Roman"/>
          <w:sz w:val="24"/>
          <w:szCs w:val="24"/>
          <w:lang w:eastAsia="en-US"/>
        </w:rPr>
        <w:t>5044 011 0003</w:t>
      </w:r>
      <w:r>
        <w:rPr>
          <w:rFonts w:ascii="Times New Roman" w:hAnsi="Times New Roman" w:cs="Times New Roman"/>
          <w:sz w:val="24"/>
          <w:szCs w:val="24"/>
          <w:lang w:eastAsia="en-US"/>
        </w:rPr>
        <w:t>;</w:t>
      </w:r>
    </w:p>
    <w:p w14:paraId="40FD0461" w14:textId="2B7CD9AD"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C2462C" w:rsidRPr="00C2462C">
        <w:rPr>
          <w:rFonts w:ascii="Times New Roman" w:hAnsi="Times New Roman" w:cs="Times New Roman"/>
          <w:sz w:val="24"/>
          <w:szCs w:val="24"/>
          <w:lang w:eastAsia="en-US"/>
        </w:rPr>
        <w:t>5044 011 0095</w:t>
      </w:r>
      <w:r>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lastRenderedPageBreak/>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rakstveidā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6C282A0E"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C2462C">
        <w:rPr>
          <w:rFonts w:ascii="Times New Roman" w:hAnsi="Times New Roman" w:cs="Times New Roman"/>
          <w:b/>
          <w:bCs/>
          <w:sz w:val="24"/>
          <w:szCs w:val="24"/>
        </w:rPr>
        <w:t>9</w:t>
      </w:r>
      <w:r w:rsidRPr="00240BFB">
        <w:rPr>
          <w:rFonts w:ascii="Times New Roman" w:hAnsi="Times New Roman" w:cs="Times New Roman"/>
          <w:b/>
          <w:bCs/>
          <w:sz w:val="24"/>
          <w:szCs w:val="24"/>
        </w:rPr>
        <w:t>. </w:t>
      </w:r>
      <w:r w:rsidR="00C2462C">
        <w:rPr>
          <w:rFonts w:ascii="Times New Roman" w:hAnsi="Times New Roman" w:cs="Times New Roman"/>
          <w:b/>
          <w:bCs/>
          <w:sz w:val="24"/>
          <w:szCs w:val="24"/>
        </w:rPr>
        <w:t>novemb</w:t>
      </w:r>
      <w:r w:rsidRPr="00240BFB">
        <w:rPr>
          <w:rFonts w:ascii="Times New Roman" w:hAnsi="Times New Roman" w:cs="Times New Roman"/>
          <w:b/>
          <w:bCs/>
          <w:sz w:val="24"/>
          <w:szCs w:val="24"/>
        </w:rPr>
        <w:t>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F62E62" w:rsidRPr="00C87DD1">
        <w:rPr>
          <w:rFonts w:ascii="Times New Roman" w:hAnsi="Times New Roman" w:cs="Times New Roman"/>
          <w:sz w:val="24"/>
          <w:szCs w:val="24"/>
        </w:rPr>
        <w:t>64497603 (Gulbenes novada Beļavas pagasta pārvalde)</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r w:rsidRPr="00705F9F">
        <w:rPr>
          <w:rFonts w:ascii="Times New Roman" w:hAnsi="Times New Roman" w:cs="Times New Roman"/>
          <w:bCs/>
          <w:i/>
          <w:sz w:val="24"/>
          <w:szCs w:val="24"/>
          <w:lang w:eastAsia="en-US"/>
        </w:rPr>
        <w:t>euro</w:t>
      </w:r>
      <w:r w:rsidRPr="00705F9F">
        <w:rPr>
          <w:rFonts w:ascii="Times New Roman" w:hAnsi="Times New Roman" w:cs="Times New Roman"/>
          <w:bCs/>
          <w:sz w:val="24"/>
          <w:szCs w:val="24"/>
          <w:lang w:eastAsia="en-US"/>
        </w:rPr>
        <w:t>.</w:t>
      </w:r>
    </w:p>
    <w:p w14:paraId="3AE45ADA" w14:textId="0F3279F2"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F62E62" w:rsidRPr="00F62E62">
        <w:rPr>
          <w:rFonts w:ascii="Times New Roman" w:hAnsi="Times New Roman" w:cs="Times New Roman"/>
          <w:sz w:val="24"/>
          <w:szCs w:val="24"/>
          <w:lang w:eastAsia="en-US"/>
        </w:rPr>
        <w:t xml:space="preserve">5500 EUR (pieci tūkstoši pieci simti </w:t>
      </w:r>
      <w:r w:rsidR="007575D2" w:rsidRPr="00705F9F">
        <w:rPr>
          <w:rFonts w:ascii="Times New Roman" w:hAnsi="Times New Roman" w:cs="Times New Roman"/>
          <w:i/>
          <w:color w:val="000000"/>
          <w:sz w:val="24"/>
          <w:szCs w:val="24"/>
        </w:rPr>
        <w:t>euro</w:t>
      </w:r>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4C85838E"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F62E62">
        <w:rPr>
          <w:rFonts w:ascii="Times New Roman" w:hAnsi="Times New Roman" w:cs="Times New Roman"/>
          <w:color w:val="000000"/>
          <w:sz w:val="24"/>
          <w:szCs w:val="24"/>
        </w:rPr>
        <w:t>550</w:t>
      </w:r>
      <w:r w:rsidRPr="00240BFB">
        <w:rPr>
          <w:rFonts w:ascii="Times New Roman" w:hAnsi="Times New Roman" w:cs="Times New Roman"/>
          <w:color w:val="000000"/>
          <w:sz w:val="24"/>
          <w:szCs w:val="24"/>
        </w:rPr>
        <w:t xml:space="preserve"> EUR (</w:t>
      </w:r>
      <w:r w:rsidR="00F62E62">
        <w:rPr>
          <w:rFonts w:ascii="Times New Roman" w:hAnsi="Times New Roman" w:cs="Times New Roman"/>
          <w:color w:val="000000"/>
          <w:sz w:val="24"/>
          <w:szCs w:val="24"/>
        </w:rPr>
        <w:t>pieci simti piecdesmit</w:t>
      </w:r>
      <w:r w:rsidR="00C82699" w:rsidRPr="00240BFB">
        <w:rPr>
          <w:rFonts w:ascii="Times New Roman" w:hAnsi="Times New Roman" w:cs="Times New Roman"/>
          <w:color w:val="000000"/>
          <w:sz w:val="24"/>
          <w:szCs w:val="24"/>
        </w:rPr>
        <w:t xml:space="preserve"> </w:t>
      </w:r>
      <w:r w:rsidRPr="00240BFB">
        <w:rPr>
          <w:rFonts w:ascii="Times New Roman" w:hAnsi="Times New Roman" w:cs="Times New Roman"/>
          <w:i/>
          <w:color w:val="000000"/>
          <w:sz w:val="24"/>
          <w:szCs w:val="24"/>
        </w:rPr>
        <w:t>euro</w:t>
      </w:r>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 xml:space="preserve">maksā pirms pieteikuma iesniegšanas, bezskaidras naudas norēķinu veidā, Gulbenes novada pašvaldības, reģistrācijas Nr.90009116327, 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F62E62" w:rsidRPr="00F62E62">
        <w:rPr>
          <w:rFonts w:ascii="Times New Roman" w:eastAsia="SimSun" w:hAnsi="Times New Roman" w:cs="Mangal"/>
          <w:color w:val="00000A"/>
          <w:sz w:val="24"/>
          <w:szCs w:val="24"/>
          <w:lang w:eastAsia="zh-CN" w:bidi="hi-IN"/>
        </w:rPr>
        <w:t>Beļavas pagastā ar nosaukumu “Gāršnieku mala”</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387ED9F1"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F62E62">
        <w:rPr>
          <w:rFonts w:ascii="Times New Roman" w:hAnsi="Times New Roman" w:cs="Times New Roman"/>
          <w:sz w:val="24"/>
          <w:szCs w:val="24"/>
        </w:rPr>
        <w:t>275</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F62E62">
        <w:rPr>
          <w:rFonts w:ascii="Times New Roman" w:hAnsi="Times New Roman" w:cs="Times New Roman"/>
          <w:sz w:val="24"/>
          <w:szCs w:val="24"/>
        </w:rPr>
        <w:t xml:space="preserve">divi simti </w:t>
      </w:r>
      <w:r w:rsidR="00E14DB0" w:rsidRPr="00705F9F">
        <w:rPr>
          <w:rFonts w:ascii="Times New Roman" w:hAnsi="Times New Roman" w:cs="Times New Roman"/>
          <w:sz w:val="24"/>
          <w:szCs w:val="24"/>
        </w:rPr>
        <w:t>septiņ</w:t>
      </w:r>
      <w:r w:rsidR="006E5668" w:rsidRPr="00705F9F">
        <w:rPr>
          <w:rFonts w:ascii="Times New Roman" w:hAnsi="Times New Roman" w:cs="Times New Roman"/>
          <w:sz w:val="24"/>
          <w:szCs w:val="24"/>
        </w:rPr>
        <w:t>desmit</w:t>
      </w:r>
      <w:r w:rsidR="00F62E62">
        <w:rPr>
          <w:rFonts w:ascii="Times New Roman" w:hAnsi="Times New Roman" w:cs="Times New Roman"/>
          <w:sz w:val="24"/>
          <w:szCs w:val="24"/>
        </w:rPr>
        <w:t xml:space="preserve"> pieci</w:t>
      </w:r>
      <w:r w:rsidR="00D128C5" w:rsidRPr="00705F9F">
        <w:rPr>
          <w:rFonts w:ascii="Times New Roman" w:hAnsi="Times New Roman" w:cs="Times New Roman"/>
          <w:sz w:val="24"/>
          <w:szCs w:val="24"/>
        </w:rPr>
        <w:t xml:space="preserve"> </w:t>
      </w:r>
      <w:r w:rsidRPr="00705F9F">
        <w:rPr>
          <w:rFonts w:ascii="Times New Roman" w:hAnsi="Times New Roman" w:cs="Times New Roman"/>
          <w:i/>
          <w:sz w:val="24"/>
          <w:szCs w:val="24"/>
        </w:rPr>
        <w:t>euro</w:t>
      </w:r>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240BFB">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r w:rsidR="005D3B02" w:rsidRPr="00F551D8">
        <w:rPr>
          <w:rFonts w:ascii="Times New Roman" w:hAnsi="Times New Roman" w:cs="Times New Roman"/>
          <w:i/>
          <w:iCs/>
          <w:sz w:val="24"/>
          <w:szCs w:val="24"/>
        </w:rPr>
        <w:t>euro</w:t>
      </w:r>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280C724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C2462C">
        <w:rPr>
          <w:rFonts w:ascii="Times New Roman" w:hAnsi="Times New Roman" w:cs="Times New Roman"/>
          <w:b/>
          <w:bCs/>
          <w:color w:val="000000"/>
          <w:sz w:val="24"/>
          <w:szCs w:val="24"/>
        </w:rPr>
        <w:t>9.novembra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w:t>
      </w:r>
      <w:r>
        <w:rPr>
          <w:rFonts w:ascii="Times New Roman" w:hAnsi="Times New Roman" w:cs="Times New Roman"/>
          <w:sz w:val="24"/>
          <w:szCs w:val="24"/>
        </w:rPr>
        <w:lastRenderedPageBreak/>
        <w:t>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4D5F4BC5"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C2462C">
        <w:rPr>
          <w:rFonts w:ascii="Times New Roman" w:hAnsi="Times New Roman" w:cs="Times New Roman"/>
          <w:b/>
          <w:sz w:val="24"/>
          <w:szCs w:val="24"/>
        </w:rPr>
        <w:t>16.novembrī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056F5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056F58">
        <w:rPr>
          <w:rFonts w:ascii="Times New Roman" w:hAnsi="Times New Roman" w:cs="Times New Roman"/>
          <w:b/>
          <w:sz w:val="24"/>
          <w:szCs w:val="24"/>
        </w:rPr>
        <w:t>0</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lastRenderedPageBreak/>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D52D0AF"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2E62" w:rsidRPr="00F62E62">
        <w:rPr>
          <w:rFonts w:ascii="Times New Roman" w:hAnsi="Times New Roman" w:cs="Times New Roman"/>
          <w:sz w:val="24"/>
          <w:szCs w:val="24"/>
        </w:rPr>
        <w:t>Beļavas pagastā ar nosaukumu “Gāršnieku mala”</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r w:rsidR="007933CC" w:rsidRPr="00DF5D0E">
        <w:rPr>
          <w:rFonts w:ascii="Times New Roman" w:hAnsi="Times New Roman" w:cs="Times New Roman"/>
          <w:color w:val="000000"/>
          <w:sz w:val="24"/>
          <w:szCs w:val="24"/>
        </w:rPr>
        <w:t>pārreģistrāciju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11971</Words>
  <Characters>6825</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2023-09-04T10:47:00Z</cp:lastPrinted>
  <dcterms:created xsi:type="dcterms:W3CDTF">2023-09-15T09:33:00Z</dcterms:created>
  <dcterms:modified xsi:type="dcterms:W3CDTF">2023-09-15T10:14:00Z</dcterms:modified>
</cp:coreProperties>
</file>