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7C8E023" w14:textId="4EE905DC" w:rsidR="009D6512"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ar kadastra numuru 5001 007 0270</w:t>
      </w:r>
    </w:p>
    <w:p w14:paraId="3B3F5D96" w14:textId="679B4412" w:rsidR="0027582B" w:rsidRPr="00327CCD" w:rsidRDefault="009D6512"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52EE4A1C"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863AF3">
        <w:rPr>
          <w:rFonts w:ascii="Times New Roman" w:eastAsia="Times New Roman" w:hAnsi="Times New Roman" w:cs="Times New Roman"/>
          <w:bCs/>
          <w:sz w:val="18"/>
          <w:szCs w:val="18"/>
        </w:rPr>
        <w:t>421,83</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384C13EB"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787184">
        <w:rPr>
          <w:rFonts w:ascii="Times New Roman" w:eastAsia="Times New Roman" w:hAnsi="Times New Roman" w:cs="Times New Roman"/>
          <w:bCs/>
          <w:sz w:val="18"/>
          <w:szCs w:val="18"/>
        </w:rPr>
        <w:t>pirmās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2E83E9A9"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DB0660">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DB0660">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DB0660">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863AF3">
              <w:rPr>
                <w:rFonts w:ascii="Times New Roman" w:hAnsi="Times New Roman" w:cs="Times New Roman"/>
                <w:sz w:val="24"/>
                <w:szCs w:val="24"/>
              </w:rPr>
              <w:t>421,83</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19CDDFAB"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863AF3">
              <w:rPr>
                <w:rFonts w:ascii="Times New Roman" w:hAnsi="Times New Roman" w:cs="Times New Roman"/>
                <w:sz w:val="24"/>
                <w:szCs w:val="24"/>
              </w:rPr>
              <w:t>1</w:t>
            </w:r>
            <w:r w:rsidR="00DB0660">
              <w:rPr>
                <w:rFonts w:ascii="Times New Roman" w:hAnsi="Times New Roman" w:cs="Times New Roman"/>
                <w:sz w:val="24"/>
                <w:szCs w:val="24"/>
              </w:rPr>
              <w:t>482</w:t>
            </w:r>
            <w:r w:rsidR="00E5330F" w:rsidRPr="00E5330F">
              <w:rPr>
                <w:rFonts w:ascii="Times New Roman" w:hAnsi="Times New Roman" w:cs="Times New Roman"/>
                <w:sz w:val="24"/>
                <w:szCs w:val="24"/>
              </w:rPr>
              <w:t>/3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2847AD4E"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DB0660">
              <w:rPr>
                <w:rFonts w:ascii="Times New Roman" w:hAnsi="Times New Roman" w:cs="Times New Roman"/>
                <w:b/>
                <w:bCs/>
                <w:sz w:val="24"/>
                <w:szCs w:val="24"/>
              </w:rPr>
              <w:t xml:space="preserve">ā </w:t>
            </w:r>
            <w:r w:rsidR="00664017">
              <w:rPr>
                <w:rFonts w:ascii="Times New Roman" w:hAnsi="Times New Roman" w:cs="Times New Roman"/>
                <w:b/>
                <w:bCs/>
                <w:sz w:val="24"/>
                <w:szCs w:val="24"/>
              </w:rPr>
              <w:t xml:space="preserve">noslēgtā pārskata </w:t>
            </w:r>
            <w:r w:rsidR="00DB0660">
              <w:rPr>
                <w:rFonts w:ascii="Times New Roman" w:hAnsi="Times New Roman" w:cs="Times New Roman"/>
                <w:b/>
                <w:bCs/>
                <w:sz w:val="24"/>
                <w:szCs w:val="24"/>
              </w:rPr>
              <w:t>gada laikā</w:t>
            </w:r>
          </w:p>
        </w:tc>
      </w:tr>
      <w:tr w:rsidR="00DB0660" w14:paraId="01D33E61" w14:textId="6BC8C35E" w:rsidTr="00CF448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3DA43284"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F456A8">
              <w:rPr>
                <w:rFonts w:ascii="Times New Roman" w:eastAsia="Times New Roman" w:hAnsi="Times New Roman" w:cs="Times New Roman"/>
                <w:b/>
                <w:bCs/>
                <w:sz w:val="24"/>
                <w:szCs w:val="24"/>
              </w:rPr>
              <w:t>2021.</w:t>
            </w:r>
            <w:r w:rsidR="00664017" w:rsidRPr="00F456A8">
              <w:rPr>
                <w:rFonts w:ascii="Times New Roman" w:eastAsia="Times New Roman" w:hAnsi="Times New Roman" w:cs="Times New Roman"/>
                <w:b/>
                <w:bCs/>
                <w:sz w:val="24"/>
                <w:szCs w:val="24"/>
              </w:rPr>
              <w:t xml:space="preserve"> vai 2022.</w:t>
            </w:r>
            <w:r w:rsidRPr="00F456A8">
              <w:rPr>
                <w:rFonts w:ascii="Times New Roman" w:eastAsia="Times New Roman" w:hAnsi="Times New Roman" w:cs="Times New Roman"/>
                <w:b/>
                <w:bCs/>
                <w:sz w:val="24"/>
                <w:szCs w:val="24"/>
              </w:rPr>
              <w:t>gads</w:t>
            </w:r>
          </w:p>
        </w:tc>
      </w:tr>
      <w:tr w:rsidR="00DB0660" w14:paraId="25AA777D" w14:textId="77777777" w:rsidTr="002449F0">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DB0660" w:rsidRPr="00204DBA" w:rsidRDefault="00DB0660"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DB0660"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7DA68FB3"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 xml:space="preserve">līdz </w:t>
            </w:r>
            <w:r w:rsidR="004E649E"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E649E" w:rsidRPr="00F456A8">
              <w:rPr>
                <w:rFonts w:ascii="Times New Roman" w:eastAsia="Times New Roman" w:hAnsi="Times New Roman" w:cs="Times New Roman"/>
                <w:b/>
                <w:bCs/>
                <w:sz w:val="24"/>
                <w:szCs w:val="24"/>
              </w:rPr>
              <w:t>.gada 31.decembrim</w:t>
            </w:r>
            <w:r w:rsidR="004E649E">
              <w:rPr>
                <w:rFonts w:ascii="Times New Roman" w:eastAsia="Times New Roman" w:hAnsi="Times New Roman" w:cs="Times New Roman"/>
                <w:b/>
                <w:bCs/>
                <w:color w:val="000000"/>
                <w:sz w:val="24"/>
                <w:szCs w:val="24"/>
              </w:rPr>
              <w:t>)</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780DEED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 xml:space="preserve">līdz </w:t>
            </w:r>
            <w:r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Pr="00F456A8">
              <w:rPr>
                <w:rFonts w:ascii="Times New Roman" w:eastAsia="Times New Roman" w:hAnsi="Times New Roman" w:cs="Times New Roman"/>
                <w:b/>
                <w:bCs/>
                <w:sz w:val="24"/>
                <w:szCs w:val="24"/>
              </w:rPr>
              <w:t>.gada 31.decembrim)</w:t>
            </w:r>
            <w:r w:rsidR="001C6444" w:rsidRPr="00F456A8">
              <w:rPr>
                <w:rFonts w:ascii="Times New Roman" w:eastAsia="Times New Roman" w:hAnsi="Times New Roman" w:cs="Times New Roman"/>
                <w:b/>
                <w:bCs/>
                <w:sz w:val="24"/>
                <w:szCs w:val="24"/>
              </w:rPr>
              <w:t xml:space="preserve"> apjoms</w:t>
            </w:r>
            <w:r w:rsidR="0046411E" w:rsidRPr="00F456A8">
              <w:rPr>
                <w:rFonts w:ascii="Times New Roman" w:eastAsia="Times New Roman" w:hAnsi="Times New Roman" w:cs="Times New Roman"/>
                <w:b/>
                <w:bCs/>
                <w:sz w:val="24"/>
                <w:szCs w:val="24"/>
              </w:rPr>
              <w:t xml:space="preserve"> saskaņā ar Izsoles noteikumu 3.7.1.apakšpunktu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AB07DC"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 xml:space="preserve">līdz </w:t>
            </w:r>
            <w:r w:rsidR="004C3485"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C3485" w:rsidRPr="00F456A8">
              <w:rPr>
                <w:rFonts w:ascii="Times New Roman" w:eastAsia="Times New Roman" w:hAnsi="Times New Roman" w:cs="Times New Roman"/>
                <w:b/>
                <w:bCs/>
                <w:sz w:val="24"/>
                <w:szCs w:val="24"/>
              </w:rPr>
              <w:t>.gada 31.decembrim</w:t>
            </w:r>
            <w:r w:rsidR="004C3485" w:rsidRPr="00F456A8">
              <w:rPr>
                <w:rFonts w:ascii="Times New Roman" w:eastAsia="Times New Roman" w:hAnsi="Times New Roman" w:cs="Times New Roman"/>
                <w:b/>
                <w:sz w:val="24"/>
                <w:szCs w:val="24"/>
              </w:rPr>
              <w:t xml:space="preserve"> jaunradītu pilna laika </w:t>
            </w:r>
            <w:r w:rsidRPr="00F456A8">
              <w:rPr>
                <w:rFonts w:ascii="Times New Roman" w:eastAsia="Times New Roman" w:hAnsi="Times New Roman" w:cs="Times New Roman"/>
                <w:b/>
                <w:bCs/>
                <w:sz w:val="24"/>
                <w:szCs w:val="24"/>
              </w:rPr>
              <w:t xml:space="preserve">darba vietu skaits komercsabiedrībā </w:t>
            </w:r>
            <w:r w:rsidR="0046411E" w:rsidRPr="00F456A8">
              <w:rPr>
                <w:rFonts w:ascii="Times New Roman" w:eastAsia="Times New Roman" w:hAnsi="Times New Roman" w:cs="Times New Roman"/>
                <w:b/>
                <w:bCs/>
                <w:sz w:val="24"/>
                <w:szCs w:val="24"/>
              </w:rPr>
              <w:t>saskaņā ar izsoles noteikumu 3.7.2.apakšpunktu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2C83C8D7"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6712F4">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6712F4">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6712F4">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863AF3">
        <w:rPr>
          <w:rFonts w:ascii="Times New Roman" w:eastAsia="Times New Roman" w:hAnsi="Times New Roman" w:cs="Times New Roman"/>
          <w:bCs/>
          <w:sz w:val="24"/>
          <w:szCs w:val="24"/>
        </w:rPr>
        <w:t>421,83</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516441">
        <w:rPr>
          <w:rFonts w:ascii="Times New Roman" w:eastAsia="Times New Roman" w:hAnsi="Times New Roman" w:cs="Times New Roman"/>
          <w:color w:val="000000"/>
          <w:sz w:val="24"/>
          <w:szCs w:val="24"/>
        </w:rPr>
        <w:t>pirmajā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A6695"/>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75DB5"/>
    <w:rsid w:val="002F3C64"/>
    <w:rsid w:val="002F4D7A"/>
    <w:rsid w:val="00310144"/>
    <w:rsid w:val="00327CCD"/>
    <w:rsid w:val="003932D7"/>
    <w:rsid w:val="003D4614"/>
    <w:rsid w:val="003E0B16"/>
    <w:rsid w:val="00440929"/>
    <w:rsid w:val="0046411E"/>
    <w:rsid w:val="00495CFD"/>
    <w:rsid w:val="004A5F51"/>
    <w:rsid w:val="004C3485"/>
    <w:rsid w:val="004E649E"/>
    <w:rsid w:val="00516441"/>
    <w:rsid w:val="00520EA4"/>
    <w:rsid w:val="00542A28"/>
    <w:rsid w:val="00556C99"/>
    <w:rsid w:val="005766F1"/>
    <w:rsid w:val="005D5DB7"/>
    <w:rsid w:val="005D68C1"/>
    <w:rsid w:val="006453E1"/>
    <w:rsid w:val="00645D0E"/>
    <w:rsid w:val="00664017"/>
    <w:rsid w:val="006712F4"/>
    <w:rsid w:val="006956F7"/>
    <w:rsid w:val="00695CF8"/>
    <w:rsid w:val="006A3421"/>
    <w:rsid w:val="006C599F"/>
    <w:rsid w:val="006F4D34"/>
    <w:rsid w:val="00711870"/>
    <w:rsid w:val="00716FE2"/>
    <w:rsid w:val="007710B7"/>
    <w:rsid w:val="00771642"/>
    <w:rsid w:val="00787173"/>
    <w:rsid w:val="00787184"/>
    <w:rsid w:val="00796D7F"/>
    <w:rsid w:val="007C6762"/>
    <w:rsid w:val="0080328D"/>
    <w:rsid w:val="00814586"/>
    <w:rsid w:val="008611DE"/>
    <w:rsid w:val="00863AF3"/>
    <w:rsid w:val="00875586"/>
    <w:rsid w:val="008F31A7"/>
    <w:rsid w:val="00904651"/>
    <w:rsid w:val="009D6512"/>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367B9"/>
    <w:rsid w:val="00C901B7"/>
    <w:rsid w:val="00C95F8E"/>
    <w:rsid w:val="00CA3982"/>
    <w:rsid w:val="00CB6817"/>
    <w:rsid w:val="00CE5671"/>
    <w:rsid w:val="00D13B3D"/>
    <w:rsid w:val="00D533B7"/>
    <w:rsid w:val="00D554A0"/>
    <w:rsid w:val="00D63A42"/>
    <w:rsid w:val="00DA65E7"/>
    <w:rsid w:val="00DB0660"/>
    <w:rsid w:val="00DD4C63"/>
    <w:rsid w:val="00E01C46"/>
    <w:rsid w:val="00E5330F"/>
    <w:rsid w:val="00EA6EBA"/>
    <w:rsid w:val="00EB2557"/>
    <w:rsid w:val="00ED21B8"/>
    <w:rsid w:val="00ED311A"/>
    <w:rsid w:val="00F021AD"/>
    <w:rsid w:val="00F03B2F"/>
    <w:rsid w:val="00F11EF1"/>
    <w:rsid w:val="00F456A8"/>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4833</Words>
  <Characters>2756</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24</cp:revision>
  <cp:lastPrinted>2022-08-09T09:36:00Z</cp:lastPrinted>
  <dcterms:created xsi:type="dcterms:W3CDTF">2022-08-29T11:18:00Z</dcterms:created>
  <dcterms:modified xsi:type="dcterms:W3CDTF">2023-07-14T08:19:00Z</dcterms:modified>
</cp:coreProperties>
</file>