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AB121" w14:textId="77777777" w:rsidR="007035C7" w:rsidRPr="00462CF5" w:rsidRDefault="00186477" w:rsidP="00186477">
      <w:pPr>
        <w:tabs>
          <w:tab w:val="left" w:pos="5670"/>
        </w:tabs>
        <w:spacing w:after="0"/>
        <w:rPr>
          <w:rFonts w:ascii="Times New Roman" w:hAnsi="Times New Roman" w:cs="Times New Roman"/>
          <w:b/>
        </w:rPr>
      </w:pPr>
      <w:bookmarkStart w:id="0" w:name="_GoBack"/>
      <w:bookmarkEnd w:id="0"/>
      <w:r w:rsidRPr="00462CF5">
        <w:rPr>
          <w:rFonts w:ascii="Times New Roman" w:hAnsi="Times New Roman" w:cs="Times New Roman"/>
          <w:b/>
        </w:rPr>
        <w:tab/>
      </w:r>
      <w:r w:rsidR="007035C7" w:rsidRPr="00462CF5">
        <w:rPr>
          <w:rFonts w:ascii="Times New Roman" w:hAnsi="Times New Roman" w:cs="Times New Roman"/>
          <w:b/>
        </w:rPr>
        <w:t>Pielikums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1E1EC4EE"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 xml:space="preserve">2022. gada </w:t>
      </w:r>
      <w:r w:rsidR="00CB63C1">
        <w:rPr>
          <w:rFonts w:ascii="Times New Roman" w:hAnsi="Times New Roman" w:cs="Times New Roman"/>
        </w:rPr>
        <w:t>29.septembra</w:t>
      </w:r>
    </w:p>
    <w:p w14:paraId="3F981FA0" w14:textId="39E73808" w:rsidR="00B100F2"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B100F2" w:rsidRPr="00462CF5">
        <w:rPr>
          <w:rFonts w:ascii="Times New Roman" w:hAnsi="Times New Roman" w:cs="Times New Roman"/>
        </w:rPr>
        <w:t>.</w:t>
      </w:r>
      <w:r w:rsidR="00B100F2">
        <w:rPr>
          <w:rFonts w:ascii="Times New Roman" w:hAnsi="Times New Roman" w:cs="Times New Roman"/>
        </w:rPr>
        <w:t xml:space="preserve"> GND/2022/941</w:t>
      </w:r>
      <w:r w:rsidR="00B100F2" w:rsidRPr="00462CF5">
        <w:rPr>
          <w:rFonts w:ascii="Times New Roman" w:hAnsi="Times New Roman" w:cs="Times New Roman"/>
        </w:rPr>
        <w:t xml:space="preserve"> </w:t>
      </w:r>
    </w:p>
    <w:p w14:paraId="3DD6A7CE" w14:textId="06BA7355" w:rsidR="007035C7" w:rsidRPr="00462CF5" w:rsidRDefault="00B100F2"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Pr>
          <w:rFonts w:ascii="Times New Roman" w:hAnsi="Times New Roman" w:cs="Times New Roman"/>
        </w:rPr>
        <w:t>19</w:t>
      </w:r>
      <w:r w:rsidR="007035C7" w:rsidRPr="00462CF5">
        <w:rPr>
          <w:rFonts w:ascii="Times New Roman" w:hAnsi="Times New Roman" w:cs="Times New Roman"/>
        </w:rPr>
        <w:t xml:space="preserve">, </w:t>
      </w:r>
      <w:r>
        <w:rPr>
          <w:rFonts w:ascii="Times New Roman" w:hAnsi="Times New Roman" w:cs="Times New Roman"/>
        </w:rPr>
        <w:t>110.p.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7CB3B693"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AF32F9">
        <w:rPr>
          <w:rFonts w:ascii="Times New Roman" w:hAnsi="Times New Roman" w:cs="Times New Roman"/>
          <w:b/>
          <w:sz w:val="24"/>
          <w:szCs w:val="24"/>
        </w:rPr>
        <w:t>2990</w:t>
      </w:r>
      <w:r w:rsidRPr="00011083">
        <w:rPr>
          <w:rFonts w:ascii="Times New Roman" w:hAnsi="Times New Roman" w:cs="Times New Roman"/>
          <w:b/>
          <w:sz w:val="24"/>
          <w:szCs w:val="24"/>
        </w:rPr>
        <w:t>,</w:t>
      </w:r>
      <w:r w:rsidR="00AF32F9">
        <w:rPr>
          <w:rFonts w:ascii="Times New Roman" w:hAnsi="Times New Roman" w:cs="Times New Roman"/>
          <w:b/>
          <w:sz w:val="24"/>
          <w:szCs w:val="24"/>
        </w:rPr>
        <w:t>58</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081F6933"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641EFC" w:rsidRPr="00011083">
        <w:rPr>
          <w:rFonts w:ascii="Times New Roman" w:hAnsi="Times New Roman" w:cs="Times New Roman"/>
          <w:b/>
          <w:sz w:val="24"/>
          <w:szCs w:val="24"/>
        </w:rPr>
        <w:t xml:space="preserve">PIRMĀS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33EA5DE7"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pirmā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AF32F9">
        <w:rPr>
          <w:rFonts w:ascii="Times New Roman" w:hAnsi="Times New Roman" w:cs="Times New Roman"/>
          <w:sz w:val="24"/>
          <w:szCs w:val="24"/>
        </w:rPr>
        <w:t>2990</w:t>
      </w:r>
      <w:r w:rsidR="006518AE" w:rsidRPr="00011083">
        <w:rPr>
          <w:rFonts w:ascii="Times New Roman" w:hAnsi="Times New Roman" w:cs="Times New Roman"/>
          <w:sz w:val="24"/>
          <w:szCs w:val="24"/>
        </w:rPr>
        <w:t>,</w:t>
      </w:r>
      <w:r w:rsidR="00AF32F9">
        <w:rPr>
          <w:rFonts w:ascii="Times New Roman" w:hAnsi="Times New Roman" w:cs="Times New Roman"/>
          <w:sz w:val="24"/>
          <w:szCs w:val="24"/>
        </w:rPr>
        <w:t>58</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6518AE" w:rsidRPr="00011083">
        <w:rPr>
          <w:rFonts w:ascii="Times New Roman" w:hAnsi="Times New Roman" w:cs="Times New Roman"/>
          <w:sz w:val="24"/>
          <w:szCs w:val="24"/>
        </w:rPr>
        <w:t>106</w:t>
      </w:r>
      <w:r w:rsidR="00AF32F9">
        <w:rPr>
          <w:rFonts w:ascii="Times New Roman" w:hAnsi="Times New Roman" w:cs="Times New Roman"/>
          <w:sz w:val="24"/>
          <w:szCs w:val="24"/>
        </w:rPr>
        <w:t>62</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izbūvējamas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r w:rsidR="00264339" w:rsidRPr="00011083">
        <w:rPr>
          <w:rFonts w:ascii="Times New Roman" w:hAnsi="Times New Roman" w:cs="Times New Roman"/>
          <w:sz w:val="24"/>
          <w:szCs w:val="24"/>
        </w:rPr>
        <w:t xml:space="preserve">velonovietnēm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49EB6F21"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1" w:name="_Hlk111603019"/>
      <w:r w:rsidR="00706310" w:rsidRPr="00011083">
        <w:rPr>
          <w:rFonts w:ascii="Times New Roman" w:hAnsi="Times New Roman" w:cs="Times New Roman"/>
          <w:sz w:val="24"/>
          <w:szCs w:val="24"/>
        </w:rPr>
        <w:t xml:space="preserve">2022.gada </w:t>
      </w:r>
      <w:r w:rsidR="00CB63C1">
        <w:rPr>
          <w:rFonts w:ascii="Times New Roman" w:hAnsi="Times New Roman" w:cs="Times New Roman"/>
          <w:sz w:val="24"/>
          <w:szCs w:val="24"/>
        </w:rPr>
        <w:t>29.septembra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B100F2">
        <w:rPr>
          <w:rFonts w:ascii="Times New Roman" w:hAnsi="Times New Roman" w:cs="Times New Roman"/>
          <w:sz w:val="24"/>
          <w:szCs w:val="24"/>
        </w:rPr>
        <w:t>941</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Par nekustamā īpašuma Lizuma pagastā ar nosaukumu “Pinkas”, kadastra numurs 5072 006 0138, ražošanas/noliktavas ēkas daļas 2990,58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pirmās nomas tiesību izsoles rīkošanu</w:t>
      </w:r>
      <w:r w:rsidR="00082C78" w:rsidRPr="00011083">
        <w:rPr>
          <w:rFonts w:ascii="Times New Roman" w:hAnsi="Times New Roman" w:cs="Times New Roman"/>
          <w:sz w:val="24"/>
          <w:szCs w:val="24"/>
        </w:rPr>
        <w:t>”</w:t>
      </w:r>
      <w:bookmarkEnd w:id="1"/>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2"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2"/>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6E22A745"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hyperlink r:id="rId12" w:tooltip="Atvērt sadaļu" w:history="1">
        <w:r w:rsidR="00093A0B" w:rsidRPr="00011083">
          <w:rPr>
            <w:rStyle w:val="Hipersaite"/>
            <w:rFonts w:ascii="Times New Roman" w:hAnsi="Times New Roman" w:cs="Times New Roman"/>
            <w:sz w:val="24"/>
            <w:szCs w:val="24"/>
          </w:rPr>
          <w:t>https://www.gulbene.lv/lv/2015-04-21-13-37-30/izsoles</w:t>
        </w:r>
      </w:hyperlink>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3CE3F039"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sadaļā Izsoles (</w:t>
      </w:r>
      <w:hyperlink r:id="rId13" w:tooltip="Atvērt sadaļu" w:history="1">
        <w:r w:rsidR="00962F14" w:rsidRPr="00011083">
          <w:rPr>
            <w:rStyle w:val="Hipersaite"/>
            <w:rFonts w:ascii="Times New Roman" w:hAnsi="Times New Roman" w:cs="Times New Roman"/>
            <w:sz w:val="24"/>
            <w:szCs w:val="24"/>
          </w:rPr>
          <w:t>https://www.gulbene.lv/lv/2015-04-21-13-37-30/izsoles</w:t>
        </w:r>
      </w:hyperlink>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11"/>
      <w:r w:rsidRPr="00FE0FF4">
        <w:rPr>
          <w:rFonts w:ascii="Times New Roman" w:hAnsi="Times New Roman" w:cs="Times New Roman"/>
          <w:sz w:val="24"/>
          <w:szCs w:val="24"/>
        </w:rPr>
        <w:t>Nomas objektu veido:</w:t>
      </w:r>
    </w:p>
    <w:p w14:paraId="20E0EA35" w14:textId="6764498F"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11083">
        <w:rPr>
          <w:rFonts w:ascii="Times New Roman" w:hAnsi="Times New Roman" w:cs="Times New Roman"/>
          <w:sz w:val="24"/>
          <w:szCs w:val="24"/>
        </w:rPr>
        <w:t xml:space="preserve">izbūvējamā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 xml:space="preserve">ēkas </w:t>
      </w:r>
      <w:r w:rsidR="00F26209" w:rsidRPr="00011083">
        <w:rPr>
          <w:rFonts w:ascii="Times New Roman" w:hAnsi="Times New Roman" w:cs="Times New Roman"/>
          <w:sz w:val="24"/>
          <w:szCs w:val="24"/>
        </w:rPr>
        <w:t xml:space="preserve">daļa </w:t>
      </w:r>
      <w:r w:rsidR="00AF32F9">
        <w:rPr>
          <w:rFonts w:ascii="Times New Roman" w:hAnsi="Times New Roman" w:cs="Times New Roman"/>
          <w:sz w:val="24"/>
          <w:szCs w:val="24"/>
        </w:rPr>
        <w:t>2990,58</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389E386E"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izbūvējamās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kas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r w:rsidR="001F09FF" w:rsidRPr="00011083">
        <w:rPr>
          <w:rFonts w:ascii="Times New Roman" w:hAnsi="Times New Roman" w:cs="Times New Roman"/>
          <w:sz w:val="24"/>
          <w:szCs w:val="24"/>
        </w:rPr>
        <w:t xml:space="preserve">velonovietnēm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0943C8F9"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AF32F9">
        <w:rPr>
          <w:rFonts w:ascii="Times New Roman" w:hAnsi="Times New Roman" w:cs="Times New Roman"/>
          <w:sz w:val="24"/>
          <w:szCs w:val="24"/>
        </w:rPr>
        <w:t xml:space="preserve">10662/30000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3"/>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4"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Noliktavas, rezervuāri, bunkuri un silosi</w:t>
      </w:r>
      <w:r w:rsidR="00395CF6" w:rsidRPr="00011083">
        <w:rPr>
          <w:rFonts w:ascii="Times New Roman" w:hAnsi="Times New Roman" w:cs="Times New Roman"/>
          <w:sz w:val="24"/>
          <w:szCs w:val="24"/>
        </w:rPr>
        <w:t xml:space="preserve"> (kods 1252).</w:t>
      </w:r>
    </w:p>
    <w:p w14:paraId="26ECBE82" w14:textId="42E832A1"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Nomas objekts tiek izbūvēts atbilstoši SIA “VVV Architecture”, reģ</w:t>
      </w:r>
      <w:r>
        <w:rPr>
          <w:rFonts w:ascii="Times New Roman" w:hAnsi="Times New Roman" w:cs="Times New Roman"/>
          <w:sz w:val="24"/>
          <w:szCs w:val="24"/>
        </w:rPr>
        <w:t>. Nr.</w:t>
      </w:r>
      <w:r w:rsidRPr="0017238B">
        <w:rPr>
          <w:rFonts w:ascii="Times New Roman" w:hAnsi="Times New Roman" w:cs="Times New Roman"/>
          <w:sz w:val="24"/>
          <w:szCs w:val="24"/>
        </w:rPr>
        <w:t xml:space="preserve"> 40203048069 (Būvkomersanta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77777777"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tiek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5.6.2. specifiskā atbalsta mērķa “Teritoriju revitalizācija,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1944E1AD"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2020.gada 31.jūlijā izsniegtu būvatļauju Nr.BIS-BV-4.1-2020-5031.</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2022.gada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inženier</w:t>
      </w:r>
      <w:r w:rsidR="008857A2">
        <w:rPr>
          <w:rFonts w:ascii="Times New Roman" w:hAnsi="Times New Roman" w:cs="Times New Roman"/>
          <w:sz w:val="24"/>
          <w:szCs w:val="24"/>
        </w:rPr>
        <w:t>sistēmas</w:t>
      </w:r>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elektroapgāde – pieslēgums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4"/>
    <w:p w14:paraId="5CD4D2CE" w14:textId="70851D2C"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4"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 xml:space="preserve">2022.gada </w:t>
      </w:r>
      <w:r w:rsidR="00CB63C1">
        <w:rPr>
          <w:rFonts w:ascii="Times New Roman" w:hAnsi="Times New Roman" w:cs="Times New Roman"/>
          <w:b/>
          <w:sz w:val="24"/>
          <w:szCs w:val="24"/>
        </w:rPr>
        <w:t>20.oktobrim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 xml:space="preserve">ar Gulbenes </w:t>
      </w:r>
      <w:r w:rsidR="00027159" w:rsidRPr="007F1177">
        <w:rPr>
          <w:rFonts w:ascii="Times New Roman" w:hAnsi="Times New Roman" w:cs="Times New Roman"/>
          <w:sz w:val="24"/>
          <w:szCs w:val="24"/>
        </w:rPr>
        <w:lastRenderedPageBreak/>
        <w:t>novada domes priekšsēdētāja</w:t>
      </w:r>
      <w:r w:rsidR="00027159" w:rsidRPr="00011083">
        <w:rPr>
          <w:rFonts w:ascii="Times New Roman" w:hAnsi="Times New Roman" w:cs="Times New Roman"/>
          <w:sz w:val="24"/>
          <w:szCs w:val="24"/>
        </w:rPr>
        <w:t xml:space="preserve"> padomnieku attīstības, projektu un būvniecības jautājumos Jāni Barinski,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11035DBE"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4328BD" w:rsidRPr="00203468">
        <w:rPr>
          <w:rFonts w:ascii="Times New Roman" w:eastAsia="Times New Roman" w:hAnsi="Times New Roman" w:cs="Times New Roman"/>
          <w:sz w:val="24"/>
          <w:szCs w:val="24"/>
        </w:rPr>
        <w:t xml:space="preserve">50,00 EUR (piecdesmit </w:t>
      </w:r>
      <w:r w:rsidR="004328BD" w:rsidRPr="00203468">
        <w:rPr>
          <w:rFonts w:ascii="Times New Roman" w:eastAsia="Times New Roman" w:hAnsi="Times New Roman" w:cs="Times New Roman"/>
          <w:i/>
          <w:sz w:val="24"/>
          <w:szCs w:val="24"/>
        </w:rPr>
        <w:t>euro</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5"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red.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ārpusteritoriālo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inženiersistēmu</w:t>
      </w:r>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67BAEDA4" w:rsidR="009B6D1D" w:rsidRPr="009B6D1D"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2023.gada 31.decembrim</w:t>
      </w:r>
      <w:r w:rsidR="0060684B">
        <w:rPr>
          <w:rFonts w:ascii="Times New Roman" w:hAnsi="Times New Roman" w:cs="Times New Roman"/>
          <w:sz w:val="24"/>
          <w:szCs w:val="24"/>
        </w:rPr>
        <w:t xml:space="preserve"> </w:t>
      </w:r>
      <w:r w:rsidR="0060684B" w:rsidRPr="00C36D87">
        <w:rPr>
          <w:rFonts w:ascii="Times New Roman" w:hAnsi="Times New Roman"/>
          <w:sz w:val="24"/>
          <w:szCs w:val="24"/>
        </w:rPr>
        <w:t>(vai līdz datumam, kas ir grozīts atbilstoši normatīvajiem aktiem)</w:t>
      </w:r>
      <w:r w:rsidRPr="009B6D1D">
        <w:rPr>
          <w:rFonts w:ascii="Times New Roman" w:hAnsi="Times New Roman" w:cs="Times New Roman"/>
          <w:sz w:val="24"/>
          <w:szCs w:val="24"/>
        </w:rPr>
        <w:t xml:space="preserve"> Nomas objekt</w:t>
      </w:r>
      <w:r w:rsidR="008A70FE" w:rsidRPr="009B6D1D">
        <w:rPr>
          <w:rFonts w:ascii="Times New Roman" w:hAnsi="Times New Roman" w:cs="Times New Roman"/>
          <w:sz w:val="24"/>
          <w:szCs w:val="24"/>
        </w:rPr>
        <w:t>a t</w:t>
      </w:r>
      <w:r w:rsidRPr="009B6D1D">
        <w:rPr>
          <w:rFonts w:ascii="Times New Roman" w:hAnsi="Times New Roman" w:cs="Times New Roman"/>
          <w:sz w:val="24"/>
          <w:szCs w:val="24"/>
        </w:rPr>
        <w:t>eritorijā:</w:t>
      </w:r>
    </w:p>
    <w:p w14:paraId="2DAF9590" w14:textId="3F6D8450"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99269C">
        <w:rPr>
          <w:rFonts w:ascii="Times New Roman" w:hAnsi="Times New Roman" w:cs="Times New Roman"/>
          <w:sz w:val="24"/>
          <w:szCs w:val="24"/>
        </w:rPr>
        <w:t>5 882 003</w:t>
      </w:r>
      <w:r w:rsidRPr="00437202">
        <w:rPr>
          <w:rFonts w:ascii="Times New Roman" w:hAnsi="Times New Roman" w:cs="Times New Roman"/>
          <w:sz w:val="24"/>
          <w:szCs w:val="24"/>
        </w:rPr>
        <w:t xml:space="preserve">,00 EUR (pieci miljoni </w:t>
      </w:r>
      <w:r w:rsidR="000860CE">
        <w:rPr>
          <w:rFonts w:ascii="Times New Roman" w:hAnsi="Times New Roman" w:cs="Times New Roman"/>
          <w:sz w:val="24"/>
          <w:szCs w:val="24"/>
        </w:rPr>
        <w:t>astoņi simti astoņdesmit divi</w:t>
      </w:r>
      <w:r w:rsidRPr="00437202">
        <w:rPr>
          <w:rFonts w:ascii="Times New Roman" w:hAnsi="Times New Roman" w:cs="Times New Roman"/>
          <w:sz w:val="24"/>
          <w:szCs w:val="24"/>
        </w:rPr>
        <w:t xml:space="preserve"> tūkstoši </w:t>
      </w:r>
      <w:r w:rsidR="000860CE">
        <w:rPr>
          <w:rFonts w:ascii="Times New Roman" w:hAnsi="Times New Roman" w:cs="Times New Roman"/>
          <w:sz w:val="24"/>
          <w:szCs w:val="24"/>
        </w:rPr>
        <w:t>trīs</w:t>
      </w:r>
      <w:r w:rsidRPr="00437202">
        <w:rPr>
          <w:rFonts w:ascii="Times New Roman" w:hAnsi="Times New Roman" w:cs="Times New Roman"/>
          <w:sz w:val="24"/>
          <w:szCs w:val="24"/>
        </w:rPr>
        <w:t xml:space="preserve"> </w:t>
      </w:r>
      <w:r w:rsidRPr="00437202">
        <w:rPr>
          <w:rFonts w:ascii="Times New Roman" w:hAnsi="Times New Roman" w:cs="Times New Roman"/>
          <w:i/>
          <w:sz w:val="24"/>
          <w:szCs w:val="24"/>
        </w:rPr>
        <w:t>euro</w:t>
      </w:r>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Investīcijas var tikt attiecinātas arī tad, ja tās ir veiktas pirms nomas līguma slēgšanas, bet ne agrāk kā 2019.gadā</w:t>
      </w:r>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Nomas objekta</w:t>
      </w:r>
      <w:r w:rsidR="00437202" w:rsidRPr="003A15ED">
        <w:rPr>
          <w:rFonts w:ascii="Times New Roman" w:hAnsi="Times New Roman" w:cs="Times New Roman"/>
          <w:sz w:val="24"/>
          <w:szCs w:val="24"/>
        </w:rPr>
        <w:t xml:space="preserve"> nekustamajā īpašumā, </w:t>
      </w:r>
      <w:r w:rsidR="00437202" w:rsidRPr="003A15ED">
        <w:rPr>
          <w:rFonts w:ascii="Times New Roman" w:hAnsi="Times New Roman" w:cs="Times New Roman"/>
          <w:sz w:val="24"/>
          <w:szCs w:val="24"/>
        </w:rPr>
        <w:lastRenderedPageBreak/>
        <w:t xml:space="preserve">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49E79B81" w:rsidR="0099788B" w:rsidRPr="0099788B"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Pr>
          <w:rFonts w:ascii="Times New Roman" w:hAnsi="Times New Roman" w:cs="Times New Roman"/>
          <w:sz w:val="24"/>
          <w:szCs w:val="24"/>
        </w:rPr>
        <w:t>izveidot</w:t>
      </w:r>
      <w:r w:rsidR="00C00FEE" w:rsidRPr="009B6D1D">
        <w:rPr>
          <w:rFonts w:ascii="Times New Roman" w:hAnsi="Times New Roman" w:cs="Times New Roman"/>
          <w:sz w:val="24"/>
          <w:szCs w:val="24"/>
        </w:rPr>
        <w:t xml:space="preserve"> ne mazāk kā 33 (trīsdesmit trīs) jaunas darba vietas.</w:t>
      </w:r>
      <w:r w:rsidR="00C00FEE" w:rsidRPr="009B6D1D">
        <w:rPr>
          <w:rFonts w:ascii="Times New Roman" w:hAnsi="Times New Roman" w:cs="Times New Roman"/>
          <w:sz w:val="24"/>
          <w:szCs w:val="24"/>
        </w:rPr>
        <w:tab/>
      </w:r>
    </w:p>
    <w:p w14:paraId="4D7A5B61" w14:textId="2E8DF2B4" w:rsidR="00F553BB" w:rsidRPr="00101C93"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6"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7"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0BAB641B"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 xml:space="preserve">2022.gada </w:t>
      </w:r>
      <w:r w:rsidR="00CB63C1">
        <w:rPr>
          <w:rFonts w:ascii="Times New Roman" w:hAnsi="Times New Roman" w:cs="Times New Roman"/>
          <w:b/>
          <w:sz w:val="24"/>
          <w:szCs w:val="24"/>
        </w:rPr>
        <w:t>25.okto</w:t>
      </w:r>
      <w:r w:rsidRPr="00516725">
        <w:rPr>
          <w:rFonts w:ascii="Times New Roman" w:hAnsi="Times New Roman" w:cs="Times New Roman"/>
          <w:b/>
          <w:sz w:val="24"/>
          <w:szCs w:val="24"/>
        </w:rPr>
        <w:t>brī plkst. 9.00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18"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 xml:space="preserve">egulā </w:t>
        </w:r>
        <w:r w:rsidR="00212A10">
          <w:rPr>
            <w:rStyle w:val="Hipersaite"/>
            <w:rFonts w:ascii="Times New Roman" w:hAnsi="Times New Roman" w:cs="Times New Roman"/>
            <w:sz w:val="24"/>
            <w:szCs w:val="24"/>
          </w:rPr>
          <w:t xml:space="preserve"> (ES)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19" w:tooltip="Atvērt MK noteikumus" w:history="1">
        <w:r w:rsidR="00094DFA" w:rsidRPr="00E814F9">
          <w:rPr>
            <w:rStyle w:val="Hipersaite"/>
            <w:rFonts w:ascii="Times New Roman" w:hAnsi="Times New Roman" w:cs="Times New Roman"/>
            <w:sz w:val="24"/>
            <w:szCs w:val="24"/>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(2019., 2020. un 2021.gads)</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r w:rsidRPr="00F551D8">
        <w:rPr>
          <w:rFonts w:ascii="Times New Roman" w:hAnsi="Times New Roman" w:cs="Times New Roman"/>
          <w:i/>
          <w:iCs/>
          <w:sz w:val="24"/>
          <w:szCs w:val="24"/>
        </w:rPr>
        <w:t>euro</w:t>
      </w:r>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 xml:space="preserve">neizpildītas maksājumu </w:t>
      </w:r>
      <w:r w:rsidR="00F845CE" w:rsidRPr="00212D1C">
        <w:rPr>
          <w:rFonts w:ascii="Times New Roman" w:hAnsi="Times New Roman" w:cs="Times New Roman"/>
          <w:sz w:val="24"/>
          <w:szCs w:val="24"/>
        </w:rPr>
        <w:lastRenderedPageBreak/>
        <w:t>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ar tiesas spriedumu tiek īstenots tiesiskās aizsardzības process vai ar tiesas lēmumu tiek īstenots ārpustiesas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77777777"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 xml:space="preserve">saistīta ar šādām tautsaimniecības nozarēm saskaņā ar Saimniecisko darbību statistisko klasifikāciju Eiropas Kopienā, 2. redakcija (NACE 2 red)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ārpusteritoriālo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attiecībā uz kuru,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305FFF41"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 xml:space="preserve">līdz 2022.gada </w:t>
      </w:r>
      <w:r w:rsidR="00CB63C1">
        <w:rPr>
          <w:rFonts w:ascii="Times New Roman" w:hAnsi="Times New Roman" w:cs="Times New Roman"/>
          <w:b/>
          <w:bCs/>
          <w:sz w:val="24"/>
          <w:szCs w:val="24"/>
        </w:rPr>
        <w:t>21.okto</w:t>
      </w:r>
      <w:r w:rsidR="00770AA6" w:rsidRPr="00516725">
        <w:rPr>
          <w:rFonts w:ascii="Times New Roman" w:hAnsi="Times New Roman" w:cs="Times New Roman"/>
          <w:b/>
          <w:bCs/>
          <w:sz w:val="24"/>
          <w:szCs w:val="24"/>
        </w:rPr>
        <w:t xml:space="preserve">bra 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lastRenderedPageBreak/>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ārpustiesas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kredītinformācijas lietotājs ir tiesīgs pieprasīt un saņemt kredītinformāciju,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7C6BB62"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s par 2019., 2020., 2021. gadu, ja komersants ir reģistrēts ārvalstīs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dents vai persona, kurai ir atbilstošas pārstāvības tiesības. Apliecinājuma izvietojumam ir jāsaskaras ar cauršūto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lastRenderedPageBreak/>
        <w:t xml:space="preserve">Visiem iesniegtajiem dokumentiem jābūt noformētiem atbilstoši </w:t>
      </w:r>
      <w:hyperlink r:id="rId20"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21"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0FF50FC5"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1B7FD3">
        <w:rPr>
          <w:rFonts w:ascii="Times New Roman" w:hAnsi="Times New Roman" w:cs="Times New Roman"/>
          <w:sz w:val="24"/>
          <w:szCs w:val="24"/>
        </w:rPr>
        <w:t>2990</w:t>
      </w:r>
      <w:r w:rsidR="001B7FD3" w:rsidRPr="00011083">
        <w:rPr>
          <w:rFonts w:ascii="Times New Roman" w:hAnsi="Times New Roman" w:cs="Times New Roman"/>
          <w:sz w:val="24"/>
          <w:szCs w:val="24"/>
        </w:rPr>
        <w:t>,</w:t>
      </w:r>
      <w:r w:rsidR="001B7FD3">
        <w:rPr>
          <w:rFonts w:ascii="Times New Roman" w:hAnsi="Times New Roman" w:cs="Times New Roman"/>
          <w:sz w:val="24"/>
          <w:szCs w:val="24"/>
        </w:rPr>
        <w:t>58</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106</w:t>
      </w:r>
      <w:r w:rsidR="001B7FD3">
        <w:rPr>
          <w:rFonts w:ascii="Times New Roman" w:hAnsi="Times New Roman" w:cs="Times New Roman"/>
          <w:sz w:val="24"/>
          <w:szCs w:val="24"/>
        </w:rPr>
        <w:t>62</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0A5A79F"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 xml:space="preserve">noteikumu 6.1. </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068FE89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730E9B37" w:rsidR="00325AAC" w:rsidRPr="005422B3"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5" w:name="_Hlk111548526"/>
      <w:r w:rsidRPr="005422B3">
        <w:rPr>
          <w:rFonts w:ascii="Times New Roman" w:hAnsi="Times New Roman" w:cs="Times New Roman"/>
          <w:sz w:val="24"/>
          <w:szCs w:val="24"/>
        </w:rPr>
        <w:t>Saskaņā ar Gulbenes novada domes 202</w:t>
      </w:r>
      <w:r w:rsidR="00B100F2">
        <w:rPr>
          <w:rFonts w:ascii="Times New Roman" w:hAnsi="Times New Roman" w:cs="Times New Roman"/>
          <w:sz w:val="24"/>
          <w:szCs w:val="24"/>
        </w:rPr>
        <w:t>2</w:t>
      </w:r>
      <w:r w:rsidRPr="005422B3">
        <w:rPr>
          <w:rFonts w:ascii="Times New Roman" w:hAnsi="Times New Roman" w:cs="Times New Roman"/>
          <w:sz w:val="24"/>
          <w:szCs w:val="24"/>
        </w:rPr>
        <w:t xml:space="preserve">.gada </w:t>
      </w:r>
      <w:r w:rsidR="00CB63C1">
        <w:rPr>
          <w:rFonts w:ascii="Times New Roman" w:hAnsi="Times New Roman" w:cs="Times New Roman"/>
          <w:sz w:val="24"/>
          <w:szCs w:val="24"/>
        </w:rPr>
        <w:t>29.septembra</w:t>
      </w:r>
      <w:r w:rsidRPr="005422B3">
        <w:rPr>
          <w:rFonts w:ascii="Times New Roman" w:hAnsi="Times New Roman" w:cs="Times New Roman"/>
          <w:sz w:val="24"/>
          <w:szCs w:val="24"/>
        </w:rPr>
        <w:t xml:space="preserve"> lēmumu Nr.</w:t>
      </w:r>
      <w:r w:rsidR="00B6322C" w:rsidRPr="005422B3">
        <w:rPr>
          <w:rFonts w:ascii="Times New Roman" w:hAnsi="Times New Roman" w:cs="Times New Roman"/>
          <w:sz w:val="24"/>
          <w:szCs w:val="24"/>
        </w:rPr>
        <w:t>GND/2022/</w:t>
      </w:r>
      <w:r w:rsidR="00B100F2">
        <w:rPr>
          <w:rFonts w:ascii="Times New Roman" w:hAnsi="Times New Roman" w:cs="Times New Roman"/>
          <w:sz w:val="24"/>
          <w:szCs w:val="24"/>
        </w:rPr>
        <w:t>941</w:t>
      </w:r>
      <w:r w:rsidR="00B6322C" w:rsidRPr="005422B3">
        <w:rPr>
          <w:rFonts w:ascii="Times New Roman" w:hAnsi="Times New Roman" w:cs="Times New Roman"/>
          <w:sz w:val="24"/>
          <w:szCs w:val="24"/>
        </w:rPr>
        <w:t xml:space="preserve"> “</w:t>
      </w:r>
      <w:r w:rsidR="009C3E5B" w:rsidRPr="009C3E5B">
        <w:rPr>
          <w:rFonts w:ascii="Times New Roman" w:hAnsi="Times New Roman" w:cs="Times New Roman"/>
          <w:sz w:val="24"/>
          <w:szCs w:val="24"/>
        </w:rPr>
        <w:t>Par nekustamā īpašuma Lizuma pagastā ar nosaukumu “Pinkas”, kadastra numurs 5072 006 0138, ražošanas/noliktavas ēkas daļas 2990,58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pirmās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ņemot vērā sertificēta nekustamā īpašuma vērtētāja SIA “Dzieti”, reģ. Nr. 42403010964, atskaiti par nekustamā īpašuma – zemes vienības daļas</w:t>
      </w:r>
      <w:r w:rsidR="00105634" w:rsidRPr="005422B3">
        <w:rPr>
          <w:rFonts w:ascii="Times New Roman" w:hAnsi="Times New Roman" w:cs="Times New Roman"/>
          <w:sz w:val="24"/>
          <w:szCs w:val="24"/>
        </w:rPr>
        <w:t xml:space="preserve"> 3,00 ha platībā un jaunizbūvējamās apbūve</w:t>
      </w:r>
      <w:r w:rsidR="007D5717">
        <w:rPr>
          <w:rFonts w:ascii="Times New Roman" w:hAnsi="Times New Roman" w:cs="Times New Roman"/>
          <w:sz w:val="24"/>
          <w:szCs w:val="24"/>
        </w:rPr>
        <w:t>s</w:t>
      </w:r>
      <w:r w:rsidR="00105634" w:rsidRPr="005422B3">
        <w:rPr>
          <w:rFonts w:ascii="Times New Roman" w:hAnsi="Times New Roman" w:cs="Times New Roman"/>
          <w:sz w:val="24"/>
          <w:szCs w:val="24"/>
        </w:rPr>
        <w:t xml:space="preserve"> novērtējumu </w:t>
      </w:r>
      <w:r w:rsidR="00DD606A" w:rsidRPr="005422B3">
        <w:rPr>
          <w:rFonts w:ascii="Times New Roman" w:hAnsi="Times New Roman" w:cs="Times New Roman"/>
          <w:sz w:val="24"/>
          <w:szCs w:val="24"/>
        </w:rPr>
        <w:t>(2022.gada 24.maija slēdziens Nr.K</w:t>
      </w:r>
      <w:r w:rsidR="00105634" w:rsidRPr="005422B3">
        <w:rPr>
          <w:rFonts w:ascii="Times New Roman" w:hAnsi="Times New Roman" w:cs="Times New Roman"/>
          <w:sz w:val="24"/>
          <w:szCs w:val="24"/>
        </w:rPr>
        <w:noBreakHyphen/>
      </w:r>
      <w:r w:rsidR="00DD606A" w:rsidRPr="005422B3">
        <w:rPr>
          <w:rFonts w:ascii="Times New Roman" w:hAnsi="Times New Roman" w:cs="Times New Roman"/>
          <w:sz w:val="24"/>
          <w:szCs w:val="24"/>
        </w:rPr>
        <w:t>22/24)</w:t>
      </w:r>
      <w:r w:rsidR="00105634" w:rsidRPr="005422B3">
        <w:rPr>
          <w:rFonts w:ascii="Times New Roman" w:hAnsi="Times New Roman" w:cs="Times New Roman"/>
          <w:sz w:val="24"/>
          <w:szCs w:val="24"/>
        </w:rPr>
        <w:t xml:space="preserve">, </w:t>
      </w:r>
      <w:bookmarkEnd w:id="5"/>
      <w:r w:rsidR="00DD606A" w:rsidRPr="005422B3">
        <w:rPr>
          <w:rFonts w:ascii="Times New Roman" w:hAnsi="Times New Roman" w:cs="Times New Roman"/>
          <w:sz w:val="24"/>
          <w:szCs w:val="24"/>
        </w:rPr>
        <w:t>Nomas objekta nosacītā nomas maksa</w:t>
      </w:r>
      <w:r w:rsidR="00394FF0" w:rsidRPr="005422B3">
        <w:rPr>
          <w:rFonts w:ascii="Times New Roman" w:hAnsi="Times New Roman" w:cs="Times New Roman"/>
          <w:sz w:val="24"/>
          <w:szCs w:val="24"/>
        </w:rPr>
        <w:t xml:space="preserve"> (izsoles sākumcena)</w:t>
      </w:r>
      <w:r w:rsidR="00105634" w:rsidRPr="005422B3">
        <w:rPr>
          <w:rFonts w:ascii="Times New Roman" w:hAnsi="Times New Roman" w:cs="Times New Roman"/>
          <w:sz w:val="24"/>
          <w:szCs w:val="24"/>
        </w:rPr>
        <w:t xml:space="preserve"> ir </w:t>
      </w:r>
      <w:r w:rsidR="00A3433C" w:rsidRPr="00A07149">
        <w:rPr>
          <w:rFonts w:ascii="Times New Roman" w:hAnsi="Times New Roman" w:cs="Times New Roman"/>
          <w:b/>
        </w:rPr>
        <w:t xml:space="preserve">2427,56 EUR (divi tūkstoši četri simti divdesmit septiņi </w:t>
      </w:r>
      <w:r w:rsidR="00A3433C" w:rsidRPr="00A07149">
        <w:rPr>
          <w:rFonts w:ascii="Times New Roman" w:hAnsi="Times New Roman" w:cs="Times New Roman"/>
          <w:b/>
          <w:i/>
        </w:rPr>
        <w:t>euro</w:t>
      </w:r>
      <w:r w:rsidR="00A3433C" w:rsidRPr="00A07149">
        <w:rPr>
          <w:rFonts w:ascii="Times New Roman" w:hAnsi="Times New Roman" w:cs="Times New Roman"/>
          <w:b/>
        </w:rPr>
        <w:t xml:space="preserve"> piecdesmit seši centi)</w:t>
      </w:r>
      <w:r w:rsidR="00105634" w:rsidRPr="00A07149">
        <w:rPr>
          <w:rFonts w:ascii="Times New Roman" w:hAnsi="Times New Roman" w:cs="Times New Roman"/>
          <w:b/>
          <w:sz w:val="24"/>
          <w:szCs w:val="24"/>
        </w:rPr>
        <w:t xml:space="preserve"> mēnesī</w:t>
      </w:r>
      <w:r w:rsidR="00EB4BBC" w:rsidRPr="00A07149">
        <w:rPr>
          <w:rFonts w:ascii="Times New Roman" w:hAnsi="Times New Roman" w:cs="Times New Roman"/>
          <w:b/>
          <w:sz w:val="24"/>
          <w:szCs w:val="24"/>
        </w:rPr>
        <w:t xml:space="preserve"> </w:t>
      </w:r>
      <w:r w:rsidRPr="00A07149">
        <w:rPr>
          <w:rFonts w:ascii="Times New Roman" w:hAnsi="Times New Roman" w:cs="Times New Roman"/>
          <w:b/>
          <w:sz w:val="24"/>
          <w:szCs w:val="24"/>
        </w:rPr>
        <w:t>bez pievienotās vērtības nodokļa.</w:t>
      </w:r>
    </w:p>
    <w:p w14:paraId="4DB8FEB8" w14:textId="2D822F04"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lastRenderedPageBreak/>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A3433C" w:rsidRPr="00A07149">
        <w:rPr>
          <w:rFonts w:ascii="Times New Roman" w:hAnsi="Times New Roman" w:cs="Times New Roman"/>
          <w:b/>
          <w:sz w:val="24"/>
          <w:szCs w:val="24"/>
        </w:rPr>
        <w:t>25</w:t>
      </w:r>
      <w:r w:rsidR="00DB3793" w:rsidRPr="00A07149">
        <w:rPr>
          <w:rFonts w:ascii="Times New Roman" w:hAnsi="Times New Roman" w:cs="Times New Roman"/>
          <w:b/>
          <w:sz w:val="24"/>
          <w:szCs w:val="24"/>
        </w:rPr>
        <w:t xml:space="preserve"> </w:t>
      </w:r>
      <w:r w:rsidR="004D315D" w:rsidRPr="00A07149">
        <w:rPr>
          <w:rFonts w:ascii="Times New Roman" w:hAnsi="Times New Roman" w:cs="Times New Roman"/>
          <w:b/>
          <w:i/>
          <w:iCs/>
          <w:sz w:val="24"/>
          <w:szCs w:val="24"/>
        </w:rPr>
        <w:t>euro</w:t>
      </w:r>
      <w:r w:rsidR="00DB3793" w:rsidRPr="00A07149">
        <w:rPr>
          <w:rFonts w:ascii="Times New Roman" w:hAnsi="Times New Roman" w:cs="Times New Roman"/>
          <w:b/>
          <w:sz w:val="24"/>
          <w:szCs w:val="24"/>
        </w:rPr>
        <w:t xml:space="preserve"> (divdesmit </w:t>
      </w:r>
      <w:r w:rsidR="00A3433C" w:rsidRPr="00A07149">
        <w:rPr>
          <w:rFonts w:ascii="Times New Roman" w:hAnsi="Times New Roman" w:cs="Times New Roman"/>
          <w:b/>
          <w:sz w:val="24"/>
          <w:szCs w:val="24"/>
        </w:rPr>
        <w:t xml:space="preserve">pieci </w:t>
      </w:r>
      <w:r w:rsidR="00DB3793" w:rsidRPr="00A07149">
        <w:rPr>
          <w:rFonts w:ascii="Times New Roman" w:hAnsi="Times New Roman" w:cs="Times New Roman"/>
          <w:b/>
          <w:i/>
          <w:sz w:val="24"/>
          <w:szCs w:val="24"/>
        </w:rPr>
        <w:t>euro</w:t>
      </w:r>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6" w:name="_Hlk111598076"/>
      <w:r w:rsidRPr="00A27F71">
        <w:rPr>
          <w:rFonts w:eastAsia="Times New Roman"/>
          <w:color w:val="auto"/>
        </w:rPr>
        <w:t>apliecinot, ka pilnībā ar tiem ir iepazinušies un piekrīt tiem</w:t>
      </w:r>
      <w:bookmarkEnd w:id="6"/>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lastRenderedPageBreak/>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tās valdes vai padomes locekli, patieso labumu guvēju, pārstāvēttiesīgo personu vai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2" w:history="1">
        <w:r w:rsidRPr="00162ECF">
          <w:rPr>
            <w:rStyle w:val="Hipersaite"/>
          </w:rPr>
          <w:t>http://sankcijas.fid.gov.lv/</w:t>
        </w:r>
      </w:hyperlink>
      <w:r>
        <w:t xml:space="preserve">; </w:t>
      </w:r>
      <w:hyperlink r:id="rId23" w:history="1">
        <w:r>
          <w:rPr>
            <w:rStyle w:val="Hipersaite"/>
          </w:rPr>
          <w:t>https://sanctionssearch.ofac.treas.gov/</w:t>
        </w:r>
      </w:hyperlink>
      <w:r>
        <w:t xml:space="preserve">; </w:t>
      </w:r>
      <w:hyperlink r:id="rId24"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 xml:space="preserve">Komisija izsoles protokolu (-us)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5"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296EFFF8"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10000 EUR </w:t>
      </w:r>
      <w:r w:rsidR="00381D4A" w:rsidRPr="00011083">
        <w:rPr>
          <w:rFonts w:ascii="Times New Roman" w:eastAsia="Times New Roman" w:hAnsi="Times New Roman" w:cs="Times New Roman"/>
          <w:sz w:val="24"/>
          <w:szCs w:val="24"/>
        </w:rPr>
        <w:t xml:space="preserve">(desmit tūkstoši </w:t>
      </w:r>
      <w:r w:rsidR="00381D4A" w:rsidRPr="00011083">
        <w:rPr>
          <w:rFonts w:ascii="Times New Roman" w:eastAsia="Times New Roman" w:hAnsi="Times New Roman" w:cs="Times New Roman"/>
          <w:i/>
          <w:iCs/>
          <w:sz w:val="24"/>
          <w:szCs w:val="24"/>
        </w:rPr>
        <w:t>euro</w:t>
      </w:r>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4CE455C7"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 xml:space="preserve">Nomnieks 10 (desmit)  darba dienu laikā pēc Nomas objekta nodošanas ekspluatācijā (ne vēlāk kā 2022.gada ceturtais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6BD727D1"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9173A2">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lastRenderedPageBreak/>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32150D88"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Pieteikums dalībai pirma</w:t>
      </w:r>
      <w:r w:rsidR="00A01D36">
        <w:rPr>
          <w:color w:val="auto"/>
        </w:rPr>
        <w:t>jā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58F91830"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CB63C1">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CB63C1">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3381B" w14:textId="77777777" w:rsidR="00295158" w:rsidRDefault="00295158" w:rsidP="003622F6">
      <w:pPr>
        <w:spacing w:after="0" w:line="240" w:lineRule="auto"/>
      </w:pPr>
      <w:r>
        <w:separator/>
      </w:r>
    </w:p>
  </w:endnote>
  <w:endnote w:type="continuationSeparator" w:id="0">
    <w:p w14:paraId="650465D7" w14:textId="77777777" w:rsidR="00295158" w:rsidRDefault="00295158"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13AB5" w14:textId="77777777" w:rsidR="00295158" w:rsidRDefault="00295158" w:rsidP="003622F6">
      <w:pPr>
        <w:spacing w:after="0" w:line="240" w:lineRule="auto"/>
      </w:pPr>
      <w:r>
        <w:separator/>
      </w:r>
    </w:p>
  </w:footnote>
  <w:footnote w:type="continuationSeparator" w:id="0">
    <w:p w14:paraId="098C73C2" w14:textId="77777777" w:rsidR="00295158" w:rsidRDefault="00295158" w:rsidP="003622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abstractNumId w:val="23"/>
  </w:num>
  <w:num w:numId="2">
    <w:abstractNumId w:val="27"/>
  </w:num>
  <w:num w:numId="3">
    <w:abstractNumId w:val="35"/>
  </w:num>
  <w:num w:numId="4">
    <w:abstractNumId w:val="24"/>
  </w:num>
  <w:num w:numId="5">
    <w:abstractNumId w:val="32"/>
  </w:num>
  <w:num w:numId="6">
    <w:abstractNumId w:val="12"/>
  </w:num>
  <w:num w:numId="7">
    <w:abstractNumId w:val="31"/>
  </w:num>
  <w:num w:numId="8">
    <w:abstractNumId w:val="4"/>
  </w:num>
  <w:num w:numId="9">
    <w:abstractNumId w:val="33"/>
  </w:num>
  <w:num w:numId="10">
    <w:abstractNumId w:val="7"/>
  </w:num>
  <w:num w:numId="11">
    <w:abstractNumId w:val="19"/>
  </w:num>
  <w:num w:numId="12">
    <w:abstractNumId w:val="20"/>
  </w:num>
  <w:num w:numId="13">
    <w:abstractNumId w:val="3"/>
  </w:num>
  <w:num w:numId="14">
    <w:abstractNumId w:val="36"/>
  </w:num>
  <w:num w:numId="15">
    <w:abstractNumId w:val="34"/>
  </w:num>
  <w:num w:numId="16">
    <w:abstractNumId w:val="2"/>
  </w:num>
  <w:num w:numId="17">
    <w:abstractNumId w:val="8"/>
  </w:num>
  <w:num w:numId="18">
    <w:abstractNumId w:val="18"/>
  </w:num>
  <w:num w:numId="19">
    <w:abstractNumId w:val="28"/>
  </w:num>
  <w:num w:numId="20">
    <w:abstractNumId w:val="25"/>
  </w:num>
  <w:num w:numId="21">
    <w:abstractNumId w:val="0"/>
  </w:num>
  <w:num w:numId="22">
    <w:abstractNumId w:val="29"/>
  </w:num>
  <w:num w:numId="23">
    <w:abstractNumId w:val="17"/>
  </w:num>
  <w:num w:numId="24">
    <w:abstractNumId w:val="6"/>
  </w:num>
  <w:num w:numId="25">
    <w:abstractNumId w:val="21"/>
  </w:num>
  <w:num w:numId="26">
    <w:abstractNumId w:val="11"/>
  </w:num>
  <w:num w:numId="27">
    <w:abstractNumId w:val="16"/>
  </w:num>
  <w:num w:numId="28">
    <w:abstractNumId w:val="5"/>
  </w:num>
  <w:num w:numId="29">
    <w:abstractNumId w:val="15"/>
  </w:num>
  <w:num w:numId="30">
    <w:abstractNumId w:val="26"/>
  </w:num>
  <w:num w:numId="31">
    <w:abstractNumId w:val="1"/>
  </w:num>
  <w:num w:numId="32">
    <w:abstractNumId w:val="14"/>
  </w:num>
  <w:num w:numId="33">
    <w:abstractNumId w:val="37"/>
  </w:num>
  <w:num w:numId="34">
    <w:abstractNumId w:val="13"/>
  </w:num>
  <w:num w:numId="35">
    <w:abstractNumId w:val="10"/>
  </w:num>
  <w:num w:numId="36">
    <w:abstractNumId w:val="9"/>
  </w:num>
  <w:num w:numId="37">
    <w:abstractNumId w:val="22"/>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5C7"/>
    <w:rsid w:val="00001B05"/>
    <w:rsid w:val="00002CB8"/>
    <w:rsid w:val="00011055"/>
    <w:rsid w:val="00011083"/>
    <w:rsid w:val="00015351"/>
    <w:rsid w:val="000217ED"/>
    <w:rsid w:val="000232B4"/>
    <w:rsid w:val="00023DA7"/>
    <w:rsid w:val="00027159"/>
    <w:rsid w:val="0003566E"/>
    <w:rsid w:val="00046655"/>
    <w:rsid w:val="00054DF3"/>
    <w:rsid w:val="00055468"/>
    <w:rsid w:val="0006553D"/>
    <w:rsid w:val="0007442E"/>
    <w:rsid w:val="00082C78"/>
    <w:rsid w:val="000860CE"/>
    <w:rsid w:val="00093A0B"/>
    <w:rsid w:val="00094DFA"/>
    <w:rsid w:val="0009528C"/>
    <w:rsid w:val="00095B3E"/>
    <w:rsid w:val="000A5971"/>
    <w:rsid w:val="000E2405"/>
    <w:rsid w:val="000F3DB0"/>
    <w:rsid w:val="00101C93"/>
    <w:rsid w:val="00105634"/>
    <w:rsid w:val="001120BD"/>
    <w:rsid w:val="0011324A"/>
    <w:rsid w:val="0011648F"/>
    <w:rsid w:val="0012153B"/>
    <w:rsid w:val="00121870"/>
    <w:rsid w:val="00131C76"/>
    <w:rsid w:val="001422FE"/>
    <w:rsid w:val="00146819"/>
    <w:rsid w:val="00167A7D"/>
    <w:rsid w:val="0017238B"/>
    <w:rsid w:val="00172DB5"/>
    <w:rsid w:val="001766B3"/>
    <w:rsid w:val="0018040C"/>
    <w:rsid w:val="001820A0"/>
    <w:rsid w:val="00186477"/>
    <w:rsid w:val="001900DD"/>
    <w:rsid w:val="00192E2A"/>
    <w:rsid w:val="001A2749"/>
    <w:rsid w:val="001B690D"/>
    <w:rsid w:val="001B7FD3"/>
    <w:rsid w:val="001D7471"/>
    <w:rsid w:val="001E0DCB"/>
    <w:rsid w:val="001E3BE6"/>
    <w:rsid w:val="001E7115"/>
    <w:rsid w:val="001F09FF"/>
    <w:rsid w:val="001F0D1E"/>
    <w:rsid w:val="00203468"/>
    <w:rsid w:val="00206BDA"/>
    <w:rsid w:val="0021051E"/>
    <w:rsid w:val="00212A10"/>
    <w:rsid w:val="00212D1C"/>
    <w:rsid w:val="00213928"/>
    <w:rsid w:val="00213F01"/>
    <w:rsid w:val="0021454E"/>
    <w:rsid w:val="0022322D"/>
    <w:rsid w:val="00225CCA"/>
    <w:rsid w:val="002267BB"/>
    <w:rsid w:val="00242062"/>
    <w:rsid w:val="00243B7D"/>
    <w:rsid w:val="00252E8B"/>
    <w:rsid w:val="00256569"/>
    <w:rsid w:val="00262BB8"/>
    <w:rsid w:val="00264339"/>
    <w:rsid w:val="00273496"/>
    <w:rsid w:val="002747C2"/>
    <w:rsid w:val="00275B3D"/>
    <w:rsid w:val="002774DC"/>
    <w:rsid w:val="00282BAB"/>
    <w:rsid w:val="00284F3F"/>
    <w:rsid w:val="002867EC"/>
    <w:rsid w:val="00287772"/>
    <w:rsid w:val="0029356A"/>
    <w:rsid w:val="0029383C"/>
    <w:rsid w:val="00295158"/>
    <w:rsid w:val="002B1295"/>
    <w:rsid w:val="002B28A5"/>
    <w:rsid w:val="002B4F7A"/>
    <w:rsid w:val="002C1624"/>
    <w:rsid w:val="002D02C4"/>
    <w:rsid w:val="002E3C99"/>
    <w:rsid w:val="002E5188"/>
    <w:rsid w:val="002F1974"/>
    <w:rsid w:val="002F4059"/>
    <w:rsid w:val="00315376"/>
    <w:rsid w:val="003234CD"/>
    <w:rsid w:val="00325AAC"/>
    <w:rsid w:val="0034074B"/>
    <w:rsid w:val="00346553"/>
    <w:rsid w:val="00347E53"/>
    <w:rsid w:val="00350150"/>
    <w:rsid w:val="003622F6"/>
    <w:rsid w:val="0036623A"/>
    <w:rsid w:val="00367146"/>
    <w:rsid w:val="0037265A"/>
    <w:rsid w:val="00381D4A"/>
    <w:rsid w:val="003825CA"/>
    <w:rsid w:val="00394FF0"/>
    <w:rsid w:val="00395CF6"/>
    <w:rsid w:val="003A08A5"/>
    <w:rsid w:val="003A15ED"/>
    <w:rsid w:val="003A1BE1"/>
    <w:rsid w:val="003A6732"/>
    <w:rsid w:val="003C3285"/>
    <w:rsid w:val="003E6B22"/>
    <w:rsid w:val="003F025A"/>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74019"/>
    <w:rsid w:val="00474049"/>
    <w:rsid w:val="00474BE7"/>
    <w:rsid w:val="004758E0"/>
    <w:rsid w:val="00477DA4"/>
    <w:rsid w:val="004901E6"/>
    <w:rsid w:val="004A7CE7"/>
    <w:rsid w:val="004B56BE"/>
    <w:rsid w:val="004D315D"/>
    <w:rsid w:val="004D38B2"/>
    <w:rsid w:val="004D72E2"/>
    <w:rsid w:val="004D77A8"/>
    <w:rsid w:val="004E0354"/>
    <w:rsid w:val="00514C5C"/>
    <w:rsid w:val="00516725"/>
    <w:rsid w:val="00537EEF"/>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F2D04"/>
    <w:rsid w:val="005F3E8C"/>
    <w:rsid w:val="005F637F"/>
    <w:rsid w:val="005F6904"/>
    <w:rsid w:val="00600D0C"/>
    <w:rsid w:val="00605FED"/>
    <w:rsid w:val="006063BD"/>
    <w:rsid w:val="0060684B"/>
    <w:rsid w:val="006200E7"/>
    <w:rsid w:val="006211C5"/>
    <w:rsid w:val="006270F4"/>
    <w:rsid w:val="006327B5"/>
    <w:rsid w:val="00641EFC"/>
    <w:rsid w:val="00644331"/>
    <w:rsid w:val="00644C36"/>
    <w:rsid w:val="00645238"/>
    <w:rsid w:val="00651585"/>
    <w:rsid w:val="006518AE"/>
    <w:rsid w:val="00655842"/>
    <w:rsid w:val="00656D66"/>
    <w:rsid w:val="00656EB3"/>
    <w:rsid w:val="0066209F"/>
    <w:rsid w:val="006741F6"/>
    <w:rsid w:val="00684D3B"/>
    <w:rsid w:val="006875CE"/>
    <w:rsid w:val="00690D96"/>
    <w:rsid w:val="0069528C"/>
    <w:rsid w:val="006A66B0"/>
    <w:rsid w:val="006A7128"/>
    <w:rsid w:val="006B4EB9"/>
    <w:rsid w:val="006C7133"/>
    <w:rsid w:val="006E2BCA"/>
    <w:rsid w:val="006E5EED"/>
    <w:rsid w:val="006F1F8D"/>
    <w:rsid w:val="007035C7"/>
    <w:rsid w:val="00706310"/>
    <w:rsid w:val="00716FA9"/>
    <w:rsid w:val="00724E12"/>
    <w:rsid w:val="00730D7C"/>
    <w:rsid w:val="0073401B"/>
    <w:rsid w:val="0074198C"/>
    <w:rsid w:val="0074701E"/>
    <w:rsid w:val="00770110"/>
    <w:rsid w:val="00770AA6"/>
    <w:rsid w:val="00772843"/>
    <w:rsid w:val="00774CAA"/>
    <w:rsid w:val="007945D8"/>
    <w:rsid w:val="007B2394"/>
    <w:rsid w:val="007B3911"/>
    <w:rsid w:val="007C1BF2"/>
    <w:rsid w:val="007C51AC"/>
    <w:rsid w:val="007C70BB"/>
    <w:rsid w:val="007D3461"/>
    <w:rsid w:val="007D4925"/>
    <w:rsid w:val="007D5717"/>
    <w:rsid w:val="007E419A"/>
    <w:rsid w:val="007F1177"/>
    <w:rsid w:val="008127A5"/>
    <w:rsid w:val="00812DDD"/>
    <w:rsid w:val="0082066B"/>
    <w:rsid w:val="00834A95"/>
    <w:rsid w:val="00841E04"/>
    <w:rsid w:val="00841ED2"/>
    <w:rsid w:val="00855B49"/>
    <w:rsid w:val="00857925"/>
    <w:rsid w:val="00865AEC"/>
    <w:rsid w:val="0087490D"/>
    <w:rsid w:val="008857A2"/>
    <w:rsid w:val="00894661"/>
    <w:rsid w:val="008A4D89"/>
    <w:rsid w:val="008A5384"/>
    <w:rsid w:val="008A70FE"/>
    <w:rsid w:val="008B2DDD"/>
    <w:rsid w:val="008C10AF"/>
    <w:rsid w:val="008D329A"/>
    <w:rsid w:val="008D4850"/>
    <w:rsid w:val="008D6F8A"/>
    <w:rsid w:val="008D7813"/>
    <w:rsid w:val="008F0D39"/>
    <w:rsid w:val="008F24FE"/>
    <w:rsid w:val="008F33D2"/>
    <w:rsid w:val="008F7FF0"/>
    <w:rsid w:val="0090714A"/>
    <w:rsid w:val="009111DB"/>
    <w:rsid w:val="00916382"/>
    <w:rsid w:val="009173A2"/>
    <w:rsid w:val="009472BD"/>
    <w:rsid w:val="00947505"/>
    <w:rsid w:val="0095200E"/>
    <w:rsid w:val="00962F14"/>
    <w:rsid w:val="0096641E"/>
    <w:rsid w:val="0097714B"/>
    <w:rsid w:val="0099269C"/>
    <w:rsid w:val="0099788B"/>
    <w:rsid w:val="009A043D"/>
    <w:rsid w:val="009A411B"/>
    <w:rsid w:val="009B6D1D"/>
    <w:rsid w:val="009B73BA"/>
    <w:rsid w:val="009C3E5B"/>
    <w:rsid w:val="009C6C14"/>
    <w:rsid w:val="009C7AC6"/>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73BD9"/>
    <w:rsid w:val="00A85BE7"/>
    <w:rsid w:val="00A87AAC"/>
    <w:rsid w:val="00A92165"/>
    <w:rsid w:val="00AB2A75"/>
    <w:rsid w:val="00AC2A77"/>
    <w:rsid w:val="00AC2CB0"/>
    <w:rsid w:val="00AC494B"/>
    <w:rsid w:val="00AD12C6"/>
    <w:rsid w:val="00AD411E"/>
    <w:rsid w:val="00AE1512"/>
    <w:rsid w:val="00AE40F0"/>
    <w:rsid w:val="00AF32F9"/>
    <w:rsid w:val="00AF3425"/>
    <w:rsid w:val="00AF643F"/>
    <w:rsid w:val="00B05A41"/>
    <w:rsid w:val="00B06B84"/>
    <w:rsid w:val="00B100F2"/>
    <w:rsid w:val="00B274D5"/>
    <w:rsid w:val="00B33F2D"/>
    <w:rsid w:val="00B3453F"/>
    <w:rsid w:val="00B36772"/>
    <w:rsid w:val="00B42110"/>
    <w:rsid w:val="00B6322C"/>
    <w:rsid w:val="00B7541B"/>
    <w:rsid w:val="00B81F6C"/>
    <w:rsid w:val="00B9140E"/>
    <w:rsid w:val="00B97B74"/>
    <w:rsid w:val="00BA1559"/>
    <w:rsid w:val="00BA376F"/>
    <w:rsid w:val="00BB706D"/>
    <w:rsid w:val="00BC7917"/>
    <w:rsid w:val="00BD3DE1"/>
    <w:rsid w:val="00BE41ED"/>
    <w:rsid w:val="00BE6970"/>
    <w:rsid w:val="00BE6D3E"/>
    <w:rsid w:val="00BF18F4"/>
    <w:rsid w:val="00C00FEE"/>
    <w:rsid w:val="00C04676"/>
    <w:rsid w:val="00C20D84"/>
    <w:rsid w:val="00C22C71"/>
    <w:rsid w:val="00C276D6"/>
    <w:rsid w:val="00C37745"/>
    <w:rsid w:val="00C45466"/>
    <w:rsid w:val="00C477BC"/>
    <w:rsid w:val="00C47DAF"/>
    <w:rsid w:val="00C53EF0"/>
    <w:rsid w:val="00C667C5"/>
    <w:rsid w:val="00C70344"/>
    <w:rsid w:val="00C72311"/>
    <w:rsid w:val="00C801BD"/>
    <w:rsid w:val="00C82E11"/>
    <w:rsid w:val="00C85CC6"/>
    <w:rsid w:val="00C932D3"/>
    <w:rsid w:val="00CB08E0"/>
    <w:rsid w:val="00CB4DB8"/>
    <w:rsid w:val="00CB5772"/>
    <w:rsid w:val="00CB63C1"/>
    <w:rsid w:val="00CC4287"/>
    <w:rsid w:val="00CC4E0C"/>
    <w:rsid w:val="00CF075F"/>
    <w:rsid w:val="00CF6897"/>
    <w:rsid w:val="00CF6A82"/>
    <w:rsid w:val="00D039C6"/>
    <w:rsid w:val="00D06EFE"/>
    <w:rsid w:val="00D269E2"/>
    <w:rsid w:val="00D34913"/>
    <w:rsid w:val="00D4165A"/>
    <w:rsid w:val="00D41BA9"/>
    <w:rsid w:val="00D43447"/>
    <w:rsid w:val="00D46CBB"/>
    <w:rsid w:val="00D6055E"/>
    <w:rsid w:val="00D64CDC"/>
    <w:rsid w:val="00D65163"/>
    <w:rsid w:val="00D66A8A"/>
    <w:rsid w:val="00D74543"/>
    <w:rsid w:val="00D838F3"/>
    <w:rsid w:val="00D9054A"/>
    <w:rsid w:val="00D90B8D"/>
    <w:rsid w:val="00D9329B"/>
    <w:rsid w:val="00DB3793"/>
    <w:rsid w:val="00DB5DB4"/>
    <w:rsid w:val="00DC7C0A"/>
    <w:rsid w:val="00DD0E12"/>
    <w:rsid w:val="00DD606A"/>
    <w:rsid w:val="00DD73EB"/>
    <w:rsid w:val="00DD78A1"/>
    <w:rsid w:val="00DE3E18"/>
    <w:rsid w:val="00DE5060"/>
    <w:rsid w:val="00DF4E66"/>
    <w:rsid w:val="00E06616"/>
    <w:rsid w:val="00E06E12"/>
    <w:rsid w:val="00E0714C"/>
    <w:rsid w:val="00E210C2"/>
    <w:rsid w:val="00E253C4"/>
    <w:rsid w:val="00E27500"/>
    <w:rsid w:val="00E371A8"/>
    <w:rsid w:val="00E40B56"/>
    <w:rsid w:val="00E41257"/>
    <w:rsid w:val="00E434C2"/>
    <w:rsid w:val="00E53AE9"/>
    <w:rsid w:val="00E554D8"/>
    <w:rsid w:val="00E62623"/>
    <w:rsid w:val="00E677DA"/>
    <w:rsid w:val="00E814F9"/>
    <w:rsid w:val="00E90FFF"/>
    <w:rsid w:val="00E95B59"/>
    <w:rsid w:val="00EA4D7D"/>
    <w:rsid w:val="00EB31D1"/>
    <w:rsid w:val="00EB4BBC"/>
    <w:rsid w:val="00EC73B3"/>
    <w:rsid w:val="00ED0F56"/>
    <w:rsid w:val="00EE53F6"/>
    <w:rsid w:val="00EF2434"/>
    <w:rsid w:val="00EF2946"/>
    <w:rsid w:val="00EF4988"/>
    <w:rsid w:val="00EF4F26"/>
    <w:rsid w:val="00F0780A"/>
    <w:rsid w:val="00F10071"/>
    <w:rsid w:val="00F202CD"/>
    <w:rsid w:val="00F212EB"/>
    <w:rsid w:val="00F22529"/>
    <w:rsid w:val="00F233AB"/>
    <w:rsid w:val="00F26209"/>
    <w:rsid w:val="00F26DEC"/>
    <w:rsid w:val="00F35C57"/>
    <w:rsid w:val="00F36668"/>
    <w:rsid w:val="00F370D7"/>
    <w:rsid w:val="00F37C04"/>
    <w:rsid w:val="00F4630B"/>
    <w:rsid w:val="00F53C4F"/>
    <w:rsid w:val="00F551D8"/>
    <w:rsid w:val="00F553BB"/>
    <w:rsid w:val="00F67CF8"/>
    <w:rsid w:val="00F75679"/>
    <w:rsid w:val="00F845CE"/>
    <w:rsid w:val="00F8697D"/>
    <w:rsid w:val="00F91044"/>
    <w:rsid w:val="00FA0503"/>
    <w:rsid w:val="00FA3422"/>
    <w:rsid w:val="00FA4E6E"/>
    <w:rsid w:val="00FA7F17"/>
    <w:rsid w:val="00FB39EC"/>
    <w:rsid w:val="00FB521A"/>
    <w:rsid w:val="00FC0661"/>
    <w:rsid w:val="00FC2872"/>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B100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ulbene.lv/lv/2015-04-21-13-37-30/izsoles" TargetMode="External"/><Relationship Id="rId18" Type="http://schemas.openxmlformats.org/officeDocument/2006/relationships/hyperlink" Target="https://eur-lex.europa.eu/legal-content/LV/TXT/?uri=CELEX%3A02014R0651-202108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301436-dokumentu-izstradasanas-un%20noformesanas-kartiba" TargetMode="External"/><Relationship Id="rId7" Type="http://schemas.openxmlformats.org/officeDocument/2006/relationships/endnotes" Target="endnotes.xml"/><Relationship Id="rId12" Type="http://schemas.openxmlformats.org/officeDocument/2006/relationships/hyperlink" Target="https://www.gulbene.lv/lv/2015-04-21-13-37-30/izsoles" TargetMode="External"/><Relationship Id="rId17" Type="http://schemas.openxmlformats.org/officeDocument/2006/relationships/hyperlink" Target="https://likumi.lv/ta/id/278254" TargetMode="External"/><Relationship Id="rId25"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hyperlink" Target="https://likumi.lv/ta/id/278254" TargetMode="External"/><Relationship Id="rId20" Type="http://schemas.openxmlformats.org/officeDocument/2006/relationships/hyperlink" Target="https://likumi.lv/ta/id/210205-dokumentu-juridiska-speka-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https://eur-lex.europa.eu/legal-content/LV/TXT/?uri=CELEX%3A02006R1893-20190726" TargetMode="External"/><Relationship Id="rId23" Type="http://schemas.openxmlformats.org/officeDocument/2006/relationships/hyperlink" Target="https://sanctionssearch.ofac.treas.gov/" TargetMode="Externa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278254-darbibas-programmas-izaugsme-un-nodarbinatiba-5-6-2-specifiska-atbalsta-merka-teritoriju-revitalizacija-regenerejot-degradetas"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file:///F:\darbojas\KINGSTON\DOME\L&#275;muma%20projekti\Komisijas\Mantas%20iznomasanas%20komisija\2022\Izsole_pinkas\jaunie%20dokumenti\2990.58_kvm\www.gulbene.lv" TargetMode="External"/><Relationship Id="rId22" Type="http://schemas.openxmlformats.org/officeDocument/2006/relationships/hyperlink" Target="http://sankcijas.fid.gov.lv/"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1C4FF-7187-4C3A-9706-CBADD258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23440</Words>
  <Characters>13362</Characters>
  <Application>Microsoft Office Word</Application>
  <DocSecurity>0</DocSecurity>
  <Lines>111</Lines>
  <Paragraphs>73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3</cp:revision>
  <cp:lastPrinted>2022-08-26T05:52:00Z</cp:lastPrinted>
  <dcterms:created xsi:type="dcterms:W3CDTF">2022-09-30T08:40:00Z</dcterms:created>
  <dcterms:modified xsi:type="dcterms:W3CDTF">2022-09-30T08:40:00Z</dcterms:modified>
</cp:coreProperties>
</file>