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D868DE">
        <w:rPr>
          <w:szCs w:val="24"/>
          <w:u w:val="none"/>
          <w:lang w:val="it-IT"/>
        </w:rPr>
        <w:t>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19.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bookmarkStart w:id="0" w:name="_GoBack"/>
    <w:bookmarkEnd w:id="0"/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„Sadarbība un zināšanu nodošana aktīvā tūrismā un sporta organizēšanai, infrastruktūras attīstībai / Cooperation and knowledge transfer for active tourism, sports management and infrastructure” atbalstīšanu un 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Simona Sniķe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26.oktobra saistošo noteikumu Nr.__  “Par Gulbenes novada pašvaldībai piederošo un tās nomāto dzīvojamo telpu īres maksas noteikšanas kārtību”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finanšu</w:t>
      </w:r>
      <w:r w:rsidRPr="0016506D">
        <w:rPr>
          <w:noProof/>
          <w:color w:val="000000" w:themeColor="text1"/>
          <w:szCs w:val="24"/>
          <w:u w:val="none"/>
        </w:rPr>
        <w:t xml:space="preserve"> un ekonomisko aprēķinu veikšanu siltumapgādes attīstībai Gulbenes pilsētā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Ligita Gāgane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2023.gada 23.februāra lēmumā Nr. GND/2023/204 (protokols Nr.3;  112.p)  “Par Gulbenes novada pašvaldības sporta infrastruktūras maksas pakalpojumiem”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3C9CD-4EC8-463D-9CF0-8E7D39DBF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2023-03-20T09:33:00Z</dcterms:created>
  <dcterms:modified xsi:type="dcterms:W3CDTF">2023-03-20T09:33:00Z</dcterms:modified>
</cp:coreProperties>
</file>