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18.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bookmarkStart w:id="0" w:name="_GoBack"/>
    <w:bookmarkEnd w:id="0"/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</w:t>
      </w:r>
      <w:r w:rsidRPr="0016506D">
        <w:rPr>
          <w:noProof/>
          <w:color w:val="000000" w:themeColor="text1"/>
          <w:szCs w:val="24"/>
          <w:u w:val="none"/>
        </w:rPr>
        <w:t xml:space="preserve"> budžeta līdzekļu sadali Gulbenes novada pamata un vispārējās vidējās izglītības iestāžu pedagogu darba samaksai un valsts sociālās apdrošināšanas obligātajām iemaksām no 2024.gada 1.janvāra līdz 31.augustam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</w:t>
      </w:r>
      <w:r w:rsidRPr="0016506D">
        <w:rPr>
          <w:noProof/>
          <w:color w:val="000000" w:themeColor="text1"/>
          <w:szCs w:val="24"/>
          <w:u w:val="none"/>
        </w:rPr>
        <w:t xml:space="preserve"> budžeta līdzekļu sadali Gulbenes novada pirmsskolas un vispārējās izglītības iestādēs bērnu no piecu gadu vecuma un logopēdiskās grupas izglītošanā nodarbināto pedagogu darba samaksai un valsts sociālās apdrošināšanas obligātajām iemaksām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mērķdotācijas</w:t>
      </w:r>
      <w:r w:rsidRPr="0016506D">
        <w:rPr>
          <w:noProof/>
          <w:color w:val="000000" w:themeColor="text1"/>
          <w:szCs w:val="24"/>
          <w:u w:val="none"/>
        </w:rPr>
        <w:t xml:space="preserve"> sadali Sveķu pamatskolas pedagoģisko darbinieku darba samaksai un valsts sociālās apdrošināšanas obligātajām iemaksām  no 2024.gada 1.janvāra līdz 31.augustam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interešu</w:t>
      </w:r>
      <w:r w:rsidRPr="0016506D">
        <w:rPr>
          <w:noProof/>
          <w:color w:val="000000" w:themeColor="text1"/>
          <w:szCs w:val="24"/>
          <w:u w:val="none"/>
        </w:rPr>
        <w:t xml:space="preserve"> izglītības programmu mērķdotācijas sadali pedagogu daļējai darba samaksai un valsts sociālās apdrošināšanas obligātajām iemaksām no 2024.gada 1.janvāra līdz 31.augustam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2023-03-20T09:33:00Z</dcterms:created>
  <dcterms:modified xsi:type="dcterms:W3CDTF">2023-03-20T09:33:00Z</dcterms:modified>
</cp:coreProperties>
</file>