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3939"/>
      </w:tblGrid>
      <w:tr w:rsidR="00177362" w:rsidTr="00177362">
        <w:tc>
          <w:tcPr>
            <w:tcW w:w="5140" w:type="dxa"/>
            <w:tcBorders>
              <w:top w:val="single" w:sz="4" w:space="0" w:color="auto"/>
              <w:left w:val="single" w:sz="4" w:space="0" w:color="auto"/>
              <w:bottom w:val="single" w:sz="4" w:space="0" w:color="auto"/>
              <w:right w:val="single" w:sz="4" w:space="0" w:color="auto"/>
            </w:tcBorders>
            <w:hideMark/>
          </w:tcPr>
          <w:p w:rsidR="00177362" w:rsidRDefault="00177362">
            <w:pPr>
              <w:spacing w:line="276" w:lineRule="auto"/>
              <w:jc w:val="center"/>
            </w:pPr>
            <w:r>
              <w:t>Jautājums</w:t>
            </w:r>
          </w:p>
        </w:tc>
        <w:tc>
          <w:tcPr>
            <w:tcW w:w="4891" w:type="dxa"/>
            <w:tcBorders>
              <w:top w:val="single" w:sz="4" w:space="0" w:color="auto"/>
              <w:left w:val="single" w:sz="4" w:space="0" w:color="auto"/>
              <w:bottom w:val="single" w:sz="4" w:space="0" w:color="auto"/>
              <w:right w:val="single" w:sz="4" w:space="0" w:color="auto"/>
            </w:tcBorders>
            <w:hideMark/>
          </w:tcPr>
          <w:p w:rsidR="00177362" w:rsidRDefault="00177362">
            <w:pPr>
              <w:spacing w:line="276" w:lineRule="auto"/>
              <w:jc w:val="center"/>
            </w:pPr>
            <w:r>
              <w:t>Atbilde</w:t>
            </w:r>
          </w:p>
        </w:tc>
      </w:tr>
      <w:tr w:rsidR="00177362" w:rsidTr="00177362">
        <w:tc>
          <w:tcPr>
            <w:tcW w:w="5140" w:type="dxa"/>
            <w:tcBorders>
              <w:top w:val="single" w:sz="4" w:space="0" w:color="auto"/>
              <w:left w:val="single" w:sz="4" w:space="0" w:color="auto"/>
              <w:bottom w:val="single" w:sz="4" w:space="0" w:color="auto"/>
              <w:right w:val="single" w:sz="4" w:space="0" w:color="auto"/>
            </w:tcBorders>
          </w:tcPr>
          <w:p w:rsidR="00177362" w:rsidRDefault="00177362" w:rsidP="00BC3077">
            <w:pPr>
              <w:numPr>
                <w:ilvl w:val="0"/>
                <w:numId w:val="1"/>
              </w:numPr>
              <w:tabs>
                <w:tab w:val="left" w:pos="426"/>
              </w:tabs>
              <w:spacing w:after="200" w:line="276" w:lineRule="auto"/>
              <w:ind w:left="0"/>
              <w:contextualSpacing/>
              <w:jc w:val="both"/>
            </w:pPr>
            <w:r>
              <w:t>Lūdzam atbildēt, kāpēc nolikuma punktā 4.1.8. ir minēta prasība, ka ir nepieciešams iesniegt AS ”Sadales tīkls” atļaujas kopiju pretendenta personālam veikt darbus Ziemeļaustrumu un Ziemeļu reģionos 0,4–</w:t>
            </w:r>
            <w:proofErr w:type="spellStart"/>
            <w:r>
              <w:t>20kV</w:t>
            </w:r>
            <w:proofErr w:type="spellEnd"/>
            <w:r>
              <w:t xml:space="preserve"> elektroietaisēs. Šī prasība apzināti samazina iespējamo pretendentu loku.</w:t>
            </w:r>
          </w:p>
          <w:p w:rsidR="00177362" w:rsidRDefault="00177362" w:rsidP="00BC3077">
            <w:pPr>
              <w:numPr>
                <w:ilvl w:val="0"/>
                <w:numId w:val="1"/>
              </w:numPr>
              <w:tabs>
                <w:tab w:val="left" w:pos="426"/>
              </w:tabs>
              <w:spacing w:after="200" w:line="276" w:lineRule="auto"/>
              <w:ind w:left="0"/>
              <w:contextualSpacing/>
              <w:jc w:val="both"/>
            </w:pPr>
          </w:p>
        </w:tc>
        <w:tc>
          <w:tcPr>
            <w:tcW w:w="4891" w:type="dxa"/>
            <w:tcBorders>
              <w:top w:val="single" w:sz="4" w:space="0" w:color="auto"/>
              <w:left w:val="single" w:sz="4" w:space="0" w:color="auto"/>
              <w:bottom w:val="single" w:sz="4" w:space="0" w:color="auto"/>
              <w:right w:val="single" w:sz="4" w:space="0" w:color="auto"/>
            </w:tcBorders>
            <w:hideMark/>
          </w:tcPr>
          <w:p w:rsidR="00177362" w:rsidRDefault="00177362">
            <w:pPr>
              <w:spacing w:line="276" w:lineRule="auto"/>
              <w:jc w:val="both"/>
            </w:pPr>
            <w:r>
              <w:t xml:space="preserve">Ņemot vērā, ka elektroietaišu izbūve pretendentam jāveic paralēli elektroietaisēm, kas ir AS „Sadales tīkls” valdījumā, ir nepieciešams  saņem atļauju par tiesībām veikt darbus AS „Sadales tīkls” esošajās elektroietaisēs. </w:t>
            </w:r>
          </w:p>
          <w:p w:rsidR="00177362" w:rsidRDefault="00177362">
            <w:pPr>
              <w:spacing w:line="276" w:lineRule="auto"/>
              <w:jc w:val="both"/>
              <w:rPr>
                <w:bCs/>
              </w:rPr>
            </w:pPr>
            <w:r>
              <w:rPr>
                <w:bCs/>
              </w:rPr>
              <w:t xml:space="preserve">Saskaņā ar  AS „Sadales tīkls” noteikumu „Kārtība, kādā darbuzņēmēja personālam dod atļauju strādāt AS „Sadales tīkls” elektroietaisēs un piešķir operatīvās tiesības radiālā tīklā” </w:t>
            </w:r>
            <w:proofErr w:type="spellStart"/>
            <w:r>
              <w:rPr>
                <w:bCs/>
              </w:rPr>
              <w:t>1.1.6.punktu</w:t>
            </w:r>
            <w:proofErr w:type="spellEnd"/>
            <w:r>
              <w:rPr>
                <w:bCs/>
              </w:rPr>
              <w:t xml:space="preserve">, lai noslēgtu līgumu par konkrētu darbu veikšanu AS „Sadales tīkls” reģionā, darbuzņēmējam jāsaņem atļauja darbam šajā reģionā. Ņemot vērā iepriekš minēto, kā arī Iepirkumu uzraudzības biroja 07.12.2015. lēmumā </w:t>
            </w:r>
            <w:proofErr w:type="spellStart"/>
            <w:r>
              <w:rPr>
                <w:bCs/>
              </w:rPr>
              <w:t>Nr.4-1.2</w:t>
            </w:r>
            <w:proofErr w:type="spellEnd"/>
            <w:r>
              <w:rPr>
                <w:bCs/>
              </w:rPr>
              <w:t>/15-361 pausto, šāda veida atļauja ir uzskatāma par pretendenta kvalifikācijas dokumentu un attiecīgi pasūtītājam saskaņā ar Publisko iepirkumu likumu ir tiesības tādu pieprasīt, un tā nav uzskatāma par konkurenci ierobežojošu prasību.</w:t>
            </w:r>
          </w:p>
          <w:p w:rsidR="00177362" w:rsidRDefault="00177362">
            <w:pPr>
              <w:spacing w:line="276" w:lineRule="auto"/>
              <w:jc w:val="both"/>
            </w:pPr>
            <w:r>
              <w:t xml:space="preserve"> </w:t>
            </w:r>
          </w:p>
        </w:tc>
      </w:tr>
      <w:tr w:rsidR="00177362" w:rsidTr="00177362">
        <w:tc>
          <w:tcPr>
            <w:tcW w:w="5140" w:type="dxa"/>
            <w:tcBorders>
              <w:top w:val="single" w:sz="4" w:space="0" w:color="auto"/>
              <w:left w:val="single" w:sz="4" w:space="0" w:color="auto"/>
              <w:bottom w:val="single" w:sz="4" w:space="0" w:color="auto"/>
              <w:right w:val="single" w:sz="4" w:space="0" w:color="auto"/>
            </w:tcBorders>
            <w:hideMark/>
          </w:tcPr>
          <w:p w:rsidR="00177362" w:rsidRDefault="00177362" w:rsidP="00BC3077">
            <w:pPr>
              <w:numPr>
                <w:ilvl w:val="0"/>
                <w:numId w:val="1"/>
              </w:numPr>
              <w:tabs>
                <w:tab w:val="left" w:pos="426"/>
              </w:tabs>
              <w:spacing w:after="200" w:line="276" w:lineRule="auto"/>
              <w:ind w:left="0"/>
              <w:contextualSpacing/>
              <w:jc w:val="both"/>
            </w:pPr>
            <w:r>
              <w:t>Nolikuma punktā 2.2.7.2. noteikts garantijas termiņš uzstādītajiem materiāliem –</w:t>
            </w:r>
          </w:p>
          <w:p w:rsidR="00177362" w:rsidRDefault="00177362" w:rsidP="00BC3077">
            <w:pPr>
              <w:numPr>
                <w:ilvl w:val="4"/>
                <w:numId w:val="2"/>
              </w:numPr>
              <w:tabs>
                <w:tab w:val="left" w:pos="1260"/>
              </w:tabs>
              <w:spacing w:line="276" w:lineRule="auto"/>
              <w:ind w:left="1418" w:hanging="992"/>
              <w:jc w:val="both"/>
            </w:pPr>
            <w:r>
              <w:t>apgaismojuma armatūrai 60 mēneši;</w:t>
            </w:r>
          </w:p>
          <w:p w:rsidR="00177362" w:rsidRDefault="00177362" w:rsidP="00BC3077">
            <w:pPr>
              <w:numPr>
                <w:ilvl w:val="4"/>
                <w:numId w:val="2"/>
              </w:numPr>
              <w:tabs>
                <w:tab w:val="left" w:pos="1260"/>
              </w:tabs>
              <w:spacing w:line="276" w:lineRule="auto"/>
              <w:ind w:left="1418" w:hanging="992"/>
              <w:jc w:val="both"/>
            </w:pPr>
            <w:r>
              <w:t>apgaismojuma balstam, balsta pamatam, balsta konsolēm – 20 gadi;</w:t>
            </w:r>
          </w:p>
          <w:p w:rsidR="00177362" w:rsidRDefault="00177362" w:rsidP="00BC3077">
            <w:pPr>
              <w:numPr>
                <w:ilvl w:val="4"/>
                <w:numId w:val="2"/>
              </w:numPr>
              <w:tabs>
                <w:tab w:val="left" w:pos="1260"/>
              </w:tabs>
              <w:spacing w:line="276" w:lineRule="auto"/>
              <w:ind w:left="1418" w:hanging="992"/>
              <w:jc w:val="both"/>
            </w:pPr>
            <w:r>
              <w:t>citiem uzstādītajiem materiāliem (ieskaitot nātrija spuldzes) – 24 mēneši.</w:t>
            </w:r>
          </w:p>
          <w:p w:rsidR="00177362" w:rsidRDefault="00177362" w:rsidP="00BC3077">
            <w:pPr>
              <w:numPr>
                <w:ilvl w:val="0"/>
                <w:numId w:val="1"/>
              </w:numPr>
              <w:tabs>
                <w:tab w:val="left" w:pos="426"/>
              </w:tabs>
              <w:spacing w:after="200" w:line="276" w:lineRule="auto"/>
              <w:ind w:left="0"/>
              <w:contextualSpacing/>
              <w:jc w:val="both"/>
            </w:pPr>
            <w:r>
              <w:t xml:space="preserve">Pamatojoties uz Patērētāju tiesību aizsardzības likuma </w:t>
            </w:r>
            <w:proofErr w:type="spellStart"/>
            <w:r>
              <w:t>VII</w:t>
            </w:r>
            <w:proofErr w:type="spellEnd"/>
            <w:r>
              <w:t xml:space="preserve"> nodaļas Patērētāja prasījumi </w:t>
            </w:r>
            <w:proofErr w:type="spellStart"/>
            <w:r>
              <w:t>27.pantu</w:t>
            </w:r>
            <w:proofErr w:type="spellEnd"/>
            <w:r>
              <w:t>, noteiktais garantijas termiņš  ir 2 gadi:</w:t>
            </w:r>
          </w:p>
          <w:p w:rsidR="00177362" w:rsidRDefault="00177362" w:rsidP="00BC3077">
            <w:pPr>
              <w:numPr>
                <w:ilvl w:val="0"/>
                <w:numId w:val="1"/>
              </w:numPr>
              <w:tabs>
                <w:tab w:val="left" w:pos="426"/>
              </w:tabs>
              <w:spacing w:after="200" w:line="276" w:lineRule="auto"/>
              <w:ind w:left="0"/>
              <w:contextualSpacing/>
              <w:jc w:val="both"/>
            </w:pPr>
            <w:r>
              <w:t xml:space="preserve">„(1) Patērētājs ir tiesīgs pieteikt prasījumu </w:t>
            </w:r>
            <w:r>
              <w:lastRenderedPageBreak/>
              <w:t>pārdevējam vai pakalpojuma sniedzējam par preces vai pakalpojuma neatbilstību līguma noteikumiem divu gadu laikā no preces iegādes vai pakalpojuma saņemšanas dienas. Patērētājs iesniedz prasījuma pieteikumu pārdevējam vai pakalpojuma sniedzējam divu mēnešu laikā no dienas, kad atklājis preces vai pakalpojuma neatbilstību līguma noteikumiem. Par preces iegādes dienu uzskatāma diena, kad pārdevējs vai pakalpojuma sniedzējs nodevis un patērētājs pieņēmis attiecīgo preci.”</w:t>
            </w:r>
          </w:p>
        </w:tc>
        <w:tc>
          <w:tcPr>
            <w:tcW w:w="4891" w:type="dxa"/>
            <w:tcBorders>
              <w:top w:val="single" w:sz="4" w:space="0" w:color="auto"/>
              <w:left w:val="single" w:sz="4" w:space="0" w:color="auto"/>
              <w:bottom w:val="single" w:sz="4" w:space="0" w:color="auto"/>
              <w:right w:val="single" w:sz="4" w:space="0" w:color="auto"/>
            </w:tcBorders>
            <w:hideMark/>
          </w:tcPr>
          <w:p w:rsidR="00177362" w:rsidRDefault="00177362">
            <w:pPr>
              <w:spacing w:line="276" w:lineRule="auto"/>
              <w:jc w:val="both"/>
            </w:pPr>
            <w:r>
              <w:lastRenderedPageBreak/>
              <w:t xml:space="preserve">Saskaņā ar Patērētāju tiesību aizsardzības likuma </w:t>
            </w:r>
            <w:proofErr w:type="spellStart"/>
            <w:r>
              <w:t>2.pantu</w:t>
            </w:r>
            <w:proofErr w:type="spellEnd"/>
            <w:r>
              <w:t xml:space="preserve"> šā likuma mērķis ir nodrošināt patērētājiem iespēju īstenot un aizsargāt savas likumīgās tiesības, kā arī aizsargāt patērētāju kolektīvās intereses. Savukārt šā likuma </w:t>
            </w:r>
            <w:proofErr w:type="spellStart"/>
            <w:r>
              <w:t>1.panta</w:t>
            </w:r>
            <w:proofErr w:type="spellEnd"/>
            <w:r>
              <w:t xml:space="preserve"> </w:t>
            </w:r>
            <w:proofErr w:type="spellStart"/>
            <w:r>
              <w:t>3.punkts</w:t>
            </w:r>
            <w:proofErr w:type="spellEnd"/>
            <w:r>
              <w:t xml:space="preserve"> nosaka, ka patērētājs ir fiziskā persona, kas izsaka vēlēšanos iegādāties, iegādājas vai varētu iegādāties vai izmantot preci vai pakalpojumu nolūkam, kurš nav saistīts ar tās saimniecisko vai profesionālo darbību.</w:t>
            </w:r>
          </w:p>
          <w:p w:rsidR="00177362" w:rsidRDefault="00177362">
            <w:pPr>
              <w:spacing w:line="276" w:lineRule="auto"/>
              <w:jc w:val="both"/>
            </w:pPr>
            <w:r>
              <w:t xml:space="preserve">Ņemot vērā, ka pasūtītājs nav fiziska </w:t>
            </w:r>
            <w:r>
              <w:lastRenderedPageBreak/>
              <w:t>persona, bet gan atvasināta publiska persona, uz to nav attiecināms Patērētāju tiesību aizsardzības likuma normas, līdz ar to Patērētāju tiesību aizsardzības likuma normas neregulē arī attiecības starp pasūtītāju un pretendentu.</w:t>
            </w:r>
          </w:p>
        </w:tc>
      </w:tr>
    </w:tbl>
    <w:p w:rsidR="005D5ECE" w:rsidRDefault="005D5ECE">
      <w:bookmarkStart w:id="0" w:name="_GoBack"/>
      <w:bookmarkEnd w:id="0"/>
    </w:p>
    <w:sectPr w:rsidR="005D5EC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09DD"/>
    <w:multiLevelType w:val="multilevel"/>
    <w:tmpl w:val="5A26B91C"/>
    <w:lvl w:ilvl="0">
      <w:start w:val="2"/>
      <w:numFmt w:val="decimal"/>
      <w:lvlText w:val="%1."/>
      <w:lvlJc w:val="left"/>
      <w:pPr>
        <w:ind w:left="540" w:hanging="540"/>
      </w:pPr>
    </w:lvl>
    <w:lvl w:ilvl="1">
      <w:start w:val="1"/>
      <w:numFmt w:val="decimal"/>
      <w:lvlText w:val="%1.%2."/>
      <w:lvlJc w:val="left"/>
      <w:pPr>
        <w:ind w:left="682" w:hanging="540"/>
      </w:pPr>
      <w:rPr>
        <w:b w:val="0"/>
      </w:rPr>
    </w:lvl>
    <w:lvl w:ilvl="2">
      <w:start w:val="1"/>
      <w:numFmt w:val="decimal"/>
      <w:lvlText w:val="%1.%2.%3."/>
      <w:lvlJc w:val="left"/>
      <w:pPr>
        <w:ind w:left="1260" w:hanging="720"/>
      </w:pPr>
      <w:rPr>
        <w:b w:val="0"/>
      </w:r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
    <w:nsid w:val="3E700B01"/>
    <w:multiLevelType w:val="hybridMultilevel"/>
    <w:tmpl w:val="0446678C"/>
    <w:lvl w:ilvl="0" w:tplc="CB52B15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362"/>
    <w:rsid w:val="00177362"/>
    <w:rsid w:val="005D5E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7736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7736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1795</Words>
  <Characters>1024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Gāgane</dc:creator>
  <cp:lastModifiedBy>Ligita Gāgane</cp:lastModifiedBy>
  <cp:revision>1</cp:revision>
  <dcterms:created xsi:type="dcterms:W3CDTF">2016-02-29T07:45:00Z</dcterms:created>
  <dcterms:modified xsi:type="dcterms:W3CDTF">2016-02-29T07:46:00Z</dcterms:modified>
</cp:coreProperties>
</file>