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20.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vienībā ar kadastra apzīmējumu 5094 008 0013 noteiktā ceļa servitūta atzīmes dzēšanu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autoceļu un ielu uzturēšanas klasēm vasaras sezonā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28.marta saistošo noteikumu Nr.__ “Gulbenes novada kapsētu darbības un uzturēšanas saistošie noteikumi”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“Gulbenes novada pašvaldības 2024.gada līdzdalības budžetēšanas projektu konkursa nolikums”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“Uzņēmējdarbības publiskās infrastruktūras uzlabošana Dzelzceļa ielā un Viestura ielā” pieteikuma iesniegšanu un projekta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2018.-2024.gadam investīciju plāna 2022.-2024.gadam grozījumiem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Litenes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“Jaunpērkoni”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 nekustamā īpašuma “Pakalnieši 2”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“Strautiņi”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Tirzas</w:t>
      </w:r>
      <w:r w:rsidRPr="0016506D">
        <w:rPr>
          <w:noProof/>
          <w:color w:val="000000" w:themeColor="text1"/>
          <w:szCs w:val="24"/>
          <w:u w:val="none"/>
        </w:rPr>
        <w:t xml:space="preserve"> pagasta  nekustamā īpašuma “Peļņi 2”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Rankas pagasta nekustamajam īpašumam “Toras”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 k – 4 - 51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58 - 10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ielā 22, Gulbenē, Gulbenes novadā,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“Lāči”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Lejasciema pagastā ar nosaukumu “Mudaža 1”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“Ciniņi”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“Gaujas - 9”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“Dukuļu lauki”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“Lauka Svilāres” atsavināšanas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Dzelzceļa iela 4B, Gulbenē,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Dzelzceļa iela 4D, Gulbenē,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Lejasciema pagastā ar nosaukumu “Smilšu-5”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“Stāķi 22” pārņemšanu pašvaldības īpašumā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sakārtošanu Brīvības ielā 77, Gulbenē, Gulbenes novadā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“Gulbīts”, sastāvā esošās ēkas ar kadastra apzīmējumu 5060 005 0073 015 nedzīvojamās telpas 17,7 m2 platībā nomas tiesību izsoles rezultātu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ielā 16 – 16,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ielā 16 – 19,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Latgales ielā 10, Gulbenē,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ielā 22, Gulbenē,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“Putrāni” – 2, Stāmerienā, Stāmerienas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2, Stāmerienas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3, Stāmerienas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4, Stāmerienas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“Mežrozītes”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E4FF-D7C1-457B-BCBA-3FFA1B9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cp:lastPrinted>2024-01-17T14:09:00Z</cp:lastPrinted>
  <dcterms:created xsi:type="dcterms:W3CDTF">2024-01-17T14:25:00Z</dcterms:created>
  <dcterms:modified xsi:type="dcterms:W3CDTF">2024-01-17T14:25:00Z</dcterms:modified>
</cp:coreProperties>
</file>