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5B1EF" w14:textId="77777777" w:rsidR="001C4157" w:rsidRDefault="001C4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58" w:type="dxa"/>
        <w:tblInd w:w="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8"/>
      </w:tblGrid>
      <w:tr w:rsidR="001C4157" w14:paraId="380881F6" w14:textId="77777777">
        <w:tc>
          <w:tcPr>
            <w:tcW w:w="9458" w:type="dxa"/>
            <w:shd w:val="clear" w:color="auto" w:fill="auto"/>
          </w:tcPr>
          <w:p w14:paraId="64E81F60" w14:textId="77777777" w:rsidR="001C4157" w:rsidRDefault="003B20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0290C95" wp14:editId="41D45EA9">
                  <wp:extent cx="619125" cy="6858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157" w14:paraId="63945747" w14:textId="77777777">
        <w:tc>
          <w:tcPr>
            <w:tcW w:w="9458" w:type="dxa"/>
            <w:shd w:val="clear" w:color="auto" w:fill="auto"/>
          </w:tcPr>
          <w:p w14:paraId="396E9D46" w14:textId="77777777" w:rsidR="001C4157" w:rsidRDefault="003B20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GULBENES NOVADA PAŠVALDĪBA</w:t>
            </w:r>
          </w:p>
        </w:tc>
      </w:tr>
      <w:tr w:rsidR="001C4157" w14:paraId="0BE0712C" w14:textId="77777777">
        <w:tc>
          <w:tcPr>
            <w:tcW w:w="9458" w:type="dxa"/>
            <w:shd w:val="clear" w:color="auto" w:fill="auto"/>
          </w:tcPr>
          <w:p w14:paraId="4CE51842" w14:textId="77777777" w:rsidR="001C4157" w:rsidRDefault="003B20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C4157" w14:paraId="26EDB5C1" w14:textId="77777777">
        <w:tc>
          <w:tcPr>
            <w:tcW w:w="9458" w:type="dxa"/>
            <w:shd w:val="clear" w:color="auto" w:fill="auto"/>
          </w:tcPr>
          <w:p w14:paraId="3C626C9E" w14:textId="77777777" w:rsidR="001C4157" w:rsidRDefault="003B20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C4157" w14:paraId="41A76C73" w14:textId="77777777">
        <w:tc>
          <w:tcPr>
            <w:tcW w:w="9458" w:type="dxa"/>
            <w:shd w:val="clear" w:color="auto" w:fill="auto"/>
          </w:tcPr>
          <w:p w14:paraId="0862641D" w14:textId="77777777" w:rsidR="001C4157" w:rsidRDefault="003B20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EF84F4B" w14:textId="77777777" w:rsidR="001C4157" w:rsidRDefault="003B2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GULBENES NOVADA DOMES LĒMUMS</w:t>
      </w:r>
    </w:p>
    <w:p w14:paraId="2706D015" w14:textId="77777777" w:rsidR="001C4157" w:rsidRDefault="003B2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Gulbenē</w:t>
      </w:r>
    </w:p>
    <w:p w14:paraId="4B697551" w14:textId="77777777" w:rsidR="001C4157" w:rsidRDefault="001C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4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9"/>
        <w:gridCol w:w="4729"/>
      </w:tblGrid>
      <w:tr w:rsidR="001C4157" w14:paraId="2831722E" w14:textId="77777777">
        <w:tc>
          <w:tcPr>
            <w:tcW w:w="4729" w:type="dxa"/>
            <w:shd w:val="clear" w:color="auto" w:fill="auto"/>
          </w:tcPr>
          <w:p w14:paraId="27C68D67" w14:textId="77777777" w:rsidR="001C4157" w:rsidRDefault="003B2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2024.gada _.aprīlī</w:t>
            </w:r>
          </w:p>
        </w:tc>
        <w:tc>
          <w:tcPr>
            <w:tcW w:w="4729" w:type="dxa"/>
            <w:shd w:val="clear" w:color="auto" w:fill="auto"/>
          </w:tcPr>
          <w:p w14:paraId="072B6E41" w14:textId="77777777" w:rsidR="001C4157" w:rsidRDefault="003B2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Nr. GND/2024</w:t>
            </w:r>
          </w:p>
        </w:tc>
      </w:tr>
      <w:tr w:rsidR="001C4157" w14:paraId="2BC1950F" w14:textId="77777777">
        <w:tc>
          <w:tcPr>
            <w:tcW w:w="4729" w:type="dxa"/>
            <w:shd w:val="clear" w:color="auto" w:fill="auto"/>
          </w:tcPr>
          <w:p w14:paraId="0BF61BE4" w14:textId="77777777" w:rsidR="001C4157" w:rsidRDefault="001C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7B98B0BF" w14:textId="77777777" w:rsidR="001C4157" w:rsidRDefault="003B2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(protokols Nr.;  )</w:t>
            </w:r>
          </w:p>
        </w:tc>
      </w:tr>
    </w:tbl>
    <w:p w14:paraId="3C803C16" w14:textId="77777777" w:rsidR="001C4157" w:rsidRDefault="001C415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DF774" w14:textId="77777777" w:rsidR="001C4157" w:rsidRDefault="003B208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 Gulbenes novada pašvaldības 2023.gada gada pārskata apstiprināšanu</w:t>
      </w:r>
    </w:p>
    <w:p w14:paraId="475AE05A" w14:textId="7971B754" w:rsidR="001C4157" w:rsidRDefault="003B2082" w:rsidP="00DF72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Gulbenes novada pašvaldības dome izskata Gulbenes novada pašvaldības Finanšu nodaļas sagatavoto Gulbenes novada </w:t>
      </w:r>
      <w:r>
        <w:rPr>
          <w:rFonts w:ascii="Times New Roman" w:eastAsia="Times New Roman" w:hAnsi="Times New Roman" w:cs="Times New Roman"/>
          <w:sz w:val="24"/>
          <w:szCs w:val="24"/>
        </w:rPr>
        <w:t>pašvaldības 2023.gada pārskatu.</w:t>
      </w:r>
      <w:r w:rsidR="0074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Pamatojoties uz Pašvaldību likuma 10.panta pirmās daļas 2.punktu, kas nosaka, ka domes kompetencē ir apstiprināt gada pārskatu, 74.panta pirmo daļu, kas nosaka, ka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dome nodrošina pašvaldības gada pārskata, konsolidētā gada pārskata un gada publiskā pārskata sagatavošanu un pieejamību, atbilstoši ārējo normatīvo aktu prasībām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likuma „Par budžetu un finanšu vadību” 30.panta pirmo daļu un 43.panta pirmo un otro daļu, Ministru kabineta 2021.gada 28.septembra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noteikumiem Nr. 652 „Gada pārskata sagatavošanas kārtība” un 2024.gada 18.aprīļa Finanšu komitejas ieteikumu, atklāti balsojot: ar __ balsīm "Par", "Pret" – , "Atturas" – , Gulbenes novada pašvaldības dome NOLEMJ:</w:t>
      </w:r>
    </w:p>
    <w:p w14:paraId="045DB3EA" w14:textId="2BC681E3" w:rsidR="001C4157" w:rsidRDefault="003B2082" w:rsidP="00DF726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APSTIPRINĀT Gulbenes novada pašvaldības 2023.gada </w:t>
      </w:r>
      <w:r>
        <w:rPr>
          <w:rFonts w:ascii="Times New Roman" w:eastAsia="Times New Roman" w:hAnsi="Times New Roman" w:cs="Times New Roman"/>
          <w:sz w:val="24"/>
          <w:szCs w:val="24"/>
        </w:rPr>
        <w:t>pārskatu</w:t>
      </w:r>
      <w:r>
        <w:rPr>
          <w:rFonts w:ascii="Times New Roman" w:eastAsia="Times New Roman" w:hAnsi="Times New Roman" w:cs="Times New Roman"/>
          <w:sz w:val="24"/>
          <w:szCs w:val="24"/>
        </w:rPr>
        <w:t>, tajā skaitā:</w:t>
      </w:r>
    </w:p>
    <w:p w14:paraId="19CBDBF8" w14:textId="77777777" w:rsidR="001C4157" w:rsidRDefault="003B2082" w:rsidP="00DF726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bilances kopsumma uz 2023.gada 31.decembri 88 969 082 EUR (astoņdesmit astoņi miljoni deviņi simti sešdesmit deviņi tūkstoši astoņdesmit divi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CC28944" w14:textId="77777777" w:rsidR="001C4157" w:rsidRDefault="003B2082" w:rsidP="00DF726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kopējo naudas līdzekļu atlikumu uz pārskata gada beigām 3 669 566 EUR ( trīs miljoni seši simti sešdesmit deviņi tūkstoši pieci simti sešdesmit seši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E18DD2F" w14:textId="77777777" w:rsidR="001C4157" w:rsidRDefault="003B2082" w:rsidP="00DF726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pārskata gada budžeta izpildes rezultātu -510 391 EUR ( pieci simti desmit tūkstoši trīs simti deviņdesmit viens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tajā skaitā ieņēmumi 41 504 934 EUR ( četrdesmit viens miljons pieci simti četri tūkstoši deviņi simti trīsdesmit četri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izdevumi 42 504 589 EUR ( četrdesmit divi miljoni pieci simti četri tūkstoši pieci simti astoņdesmit deviņi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ieņēmumi no nefinanšu aktīvu atsavināšanas 489 264 EUR (četri simti astoņdesmit deviņi tūkstoši divi simti sešdesmit četri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AEA01A1" w14:textId="24BF7C6F" w:rsidR="001C4157" w:rsidRDefault="003B2082" w:rsidP="00DF726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aizņēmumu no Valsts kases atlikumu uz pārskata perioda beigām 18 727 444 EUR (astoņpadsmit miljoni septiņi simti divdesmit septiņi tūkstoši četri simti četrdesmit četri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euro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E4D681D" w14:textId="77777777" w:rsidR="001C4157" w:rsidRDefault="003B2082" w:rsidP="00DF7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Lēmums stājas spēkā ar tā pieņemšanas brīdi.</w:t>
      </w:r>
    </w:p>
    <w:p w14:paraId="1352A936" w14:textId="638EDAF4" w:rsidR="001C4157" w:rsidRDefault="003B2082" w:rsidP="00DF72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</w:t>
      </w:r>
    </w:p>
    <w:p w14:paraId="6532278D" w14:textId="7BD7AD40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2023.gada pārskats uz 100 lappusēm (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ilance - 5 lappuses,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naudas plūsmas pārskats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lappuses,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pārskats par darbības finansiālajiem rezultātiem -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lappuses, pašu ka</w:t>
      </w:r>
      <w:r w:rsidR="00DF726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itāla izmaiņu pārskats - 2 </w:t>
      </w:r>
      <w:r>
        <w:rPr>
          <w:rFonts w:ascii="Times New Roman" w:eastAsia="Times New Roman" w:hAnsi="Times New Roman" w:cs="Times New Roman"/>
          <w:sz w:val="24"/>
          <w:szCs w:val="24"/>
        </w:rPr>
        <w:t>lappuses, budžeta izpildes pārskats - 66 lappuses, ziedojumu un dāvinājumu budžeta izpildes pārskats - 6 lappuses);</w:t>
      </w:r>
    </w:p>
    <w:p w14:paraId="50242922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Finanšu instrumentu risku pārvaldīšanas apraksts uz 2 lappusēm;</w:t>
      </w:r>
    </w:p>
    <w:p w14:paraId="164AE02F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Vadības ziņojums uz 6 lappusēm;</w:t>
      </w:r>
    </w:p>
    <w:p w14:paraId="518734F4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2023. gada budžeta izpildes skaidrojums uz 11 lappusēm;</w:t>
      </w:r>
    </w:p>
    <w:p w14:paraId="4B07523A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Grāmatvedības uzskaites principu apraksts uz  21 lappuses;</w:t>
      </w:r>
    </w:p>
    <w:p w14:paraId="72EA4FE3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Gada pārskata sagatavošanas principu apraksts uz 12 lappusēm;</w:t>
      </w:r>
    </w:p>
    <w:p w14:paraId="2207A8FC" w14:textId="77777777" w:rsidR="001C4157" w:rsidRDefault="003B2082" w:rsidP="00DF72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Zvērināta revidenta atzinums uz 3 lappusēm.</w:t>
      </w:r>
    </w:p>
    <w:p w14:paraId="1AEA8638" w14:textId="77777777" w:rsidR="001C4157" w:rsidRDefault="001C4157" w:rsidP="00DF72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B29B8" w14:textId="77777777" w:rsidR="00DF7264" w:rsidRDefault="00DF7264" w:rsidP="00DF72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B6C16" w14:textId="7A72A6E4" w:rsidR="001C4157" w:rsidRDefault="003B2082" w:rsidP="00DF72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Gulbenes novada domes </w:t>
      </w:r>
      <w:r>
        <w:rPr>
          <w:rFonts w:ascii="Times New Roman" w:eastAsia="Times New Roman" w:hAnsi="Times New Roman" w:cs="Times New Roman"/>
          <w:sz w:val="24"/>
          <w:szCs w:val="24"/>
        </w:rPr>
        <w:t>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A.Caunītis</w:t>
      </w:r>
    </w:p>
    <w:p w14:paraId="1E58B754" w14:textId="77777777" w:rsidR="00DF7264" w:rsidRDefault="00DF7264" w:rsidP="00DF72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E7A2F" w14:textId="77777777" w:rsidR="001C4157" w:rsidRDefault="003B2082" w:rsidP="00DF72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Sagatavoja: G. Rone</w:t>
      </w:r>
    </w:p>
    <w:sectPr w:rsidR="001C4157">
      <w:pgSz w:w="11906" w:h="16838"/>
      <w:pgMar w:top="851" w:right="73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43CFA"/>
    <w:multiLevelType w:val="multilevel"/>
    <w:tmpl w:val="292E4B9E"/>
    <w:lvl w:ilvl="0">
      <w:start w:val="1"/>
      <w:numFmt w:val="decimal"/>
      <w:lvlText w:val="%1."/>
      <w:lvlJc w:val="righ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right"/>
      <w:pPr>
        <w:ind w:left="1647" w:hanging="360"/>
      </w:pPr>
    </w:lvl>
    <w:lvl w:ilvl="2">
      <w:start w:val="1"/>
      <w:numFmt w:val="decimal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right"/>
      <w:pPr>
        <w:ind w:left="3087" w:hanging="360"/>
      </w:pPr>
    </w:lvl>
    <w:lvl w:ilvl="4">
      <w:start w:val="1"/>
      <w:numFmt w:val="decimal"/>
      <w:lvlText w:val="%1.%2.%3.%4.%5."/>
      <w:lvlJc w:val="right"/>
      <w:pPr>
        <w:ind w:left="3807" w:hanging="360"/>
      </w:pPr>
    </w:lvl>
    <w:lvl w:ilvl="5">
      <w:start w:val="1"/>
      <w:numFmt w:val="decimal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right"/>
      <w:pPr>
        <w:ind w:left="5247" w:hanging="360"/>
      </w:pPr>
    </w:lvl>
    <w:lvl w:ilvl="7">
      <w:start w:val="1"/>
      <w:numFmt w:val="decimal"/>
      <w:lvlText w:val="%1.%2.%3.%4.%5.%6.%7.%8."/>
      <w:lvlJc w:val="right"/>
      <w:pPr>
        <w:ind w:left="5967" w:hanging="360"/>
      </w:pPr>
    </w:lvl>
    <w:lvl w:ilvl="8">
      <w:start w:val="1"/>
      <w:numFmt w:val="decimal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5E733294"/>
    <w:multiLevelType w:val="multilevel"/>
    <w:tmpl w:val="123A90F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540947541">
    <w:abstractNumId w:val="0"/>
  </w:num>
  <w:num w:numId="2" w16cid:durableId="59671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57"/>
    <w:rsid w:val="001C4157"/>
    <w:rsid w:val="003B2082"/>
    <w:rsid w:val="0074698F"/>
    <w:rsid w:val="00D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7F6B"/>
  <w15:docId w15:val="{AA6DFE02-673E-47BB-A09B-9088426C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B9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rPr>
      <w:lang w:eastAsia="en-US"/>
    </w:r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rPr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36E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6E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6EF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6E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6EF3"/>
    <w:rPr>
      <w:b/>
      <w:bCs/>
      <w:lang w:eastAsia="en-US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p/6iZiw9piWNcO4LFOtYAvREQ==">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1941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Sanita Mickeviča</cp:lastModifiedBy>
  <cp:revision>4</cp:revision>
  <dcterms:created xsi:type="dcterms:W3CDTF">2024-04-12T12:25:00Z</dcterms:created>
  <dcterms:modified xsi:type="dcterms:W3CDTF">2024-04-14T18:14:00Z</dcterms:modified>
</cp:coreProperties>
</file>