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bookmarkStart w:id="0" w:name="_GoBack"/>
      <w:bookmarkEnd w:id="0"/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22.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iestādes “Gulbenes novada kultūras centrs” iekšējo reorganizāciju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  saistošo noteikumu Nr.___ “Par Gulbenes novada simboliku”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Laima Priedeslaipa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pašvaldības neformālās izglītības pasākumu Ukrainas bērniem projektu konkursa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Vija Medne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“Gulbenes novada pašvaldības Ukrainas un Latvijas bērnu un jauniešu nometņu projektu konkursa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Vija Medne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3.pirmsskolas izglītības iestādes “Auseklītis” attīstības plāna 2024.-2026.gadam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Vija Pušķe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pamatskolas attīstības plāna 2024.-2027.gadam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Ineta Maltavniece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</w:t>
      </w:r>
      <w:r w:rsidRPr="0016506D">
        <w:rPr>
          <w:noProof/>
          <w:color w:val="000000" w:themeColor="text1"/>
          <w:szCs w:val="24"/>
          <w:u w:val="none"/>
        </w:rPr>
        <w:t xml:space="preserve"> pamatskolas attīstības plāna 2024.-2027.gadam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Svetlana Ziepniece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D69-6C4E-453E-BB47-B2E67CD8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2024-01-17T14:40:00Z</dcterms:created>
  <dcterms:modified xsi:type="dcterms:W3CDTF">2024-01-17T14:40:00Z</dcterms:modified>
</cp:coreProperties>
</file>