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4791"/>
      </w:tblGrid>
      <w:tr w:rsidR="00F6495A" w:rsidRPr="00AF3C58" w:rsidTr="004833C5">
        <w:tc>
          <w:tcPr>
            <w:tcW w:w="4565" w:type="dxa"/>
            <w:shd w:val="clear" w:color="auto" w:fill="auto"/>
          </w:tcPr>
          <w:p w:rsidR="00F6495A" w:rsidRPr="00AF3C58" w:rsidRDefault="00F6495A" w:rsidP="004833C5">
            <w:pPr>
              <w:spacing w:after="0"/>
              <w:ind w:firstLine="459"/>
              <w:jc w:val="center"/>
              <w:rPr>
                <w:rFonts w:ascii="Times New Roman" w:hAnsi="Times New Roman"/>
                <w:b/>
                <w:sz w:val="24"/>
                <w:szCs w:val="24"/>
              </w:rPr>
            </w:pPr>
            <w:r w:rsidRPr="00AF3C58">
              <w:rPr>
                <w:rFonts w:ascii="Times New Roman" w:hAnsi="Times New Roman"/>
                <w:b/>
                <w:sz w:val="24"/>
                <w:szCs w:val="24"/>
              </w:rPr>
              <w:t>Jautājums</w:t>
            </w:r>
          </w:p>
        </w:tc>
        <w:tc>
          <w:tcPr>
            <w:tcW w:w="4791" w:type="dxa"/>
            <w:shd w:val="clear" w:color="auto" w:fill="auto"/>
          </w:tcPr>
          <w:p w:rsidR="00F6495A" w:rsidRPr="00AF3C58" w:rsidRDefault="00F6495A" w:rsidP="004833C5">
            <w:pPr>
              <w:spacing w:after="0"/>
              <w:ind w:firstLine="459"/>
              <w:jc w:val="center"/>
              <w:rPr>
                <w:rFonts w:ascii="Times New Roman" w:hAnsi="Times New Roman"/>
                <w:b/>
                <w:sz w:val="24"/>
                <w:szCs w:val="24"/>
              </w:rPr>
            </w:pPr>
            <w:r w:rsidRPr="00AF3C58">
              <w:rPr>
                <w:rFonts w:ascii="Times New Roman" w:hAnsi="Times New Roman"/>
                <w:b/>
                <w:sz w:val="24"/>
                <w:szCs w:val="24"/>
              </w:rPr>
              <w:t>Atbilde</w:t>
            </w:r>
          </w:p>
        </w:tc>
      </w:tr>
      <w:tr w:rsidR="00F6495A" w:rsidRPr="00AF3C58" w:rsidTr="004833C5">
        <w:tc>
          <w:tcPr>
            <w:tcW w:w="4565" w:type="dxa"/>
            <w:shd w:val="clear" w:color="auto" w:fill="auto"/>
          </w:tcPr>
          <w:p w:rsidR="00F6495A" w:rsidRPr="00AF3C58" w:rsidRDefault="00F6495A" w:rsidP="004833C5">
            <w:pPr>
              <w:shd w:val="clear" w:color="auto" w:fill="FFFFFF"/>
              <w:tabs>
                <w:tab w:val="left" w:pos="360"/>
              </w:tabs>
              <w:spacing w:before="60" w:after="0"/>
              <w:ind w:right="11" w:firstLine="601"/>
              <w:jc w:val="both"/>
              <w:rPr>
                <w:rFonts w:ascii="Times New Roman" w:hAnsi="Times New Roman"/>
                <w:sz w:val="24"/>
                <w:szCs w:val="24"/>
              </w:rPr>
            </w:pPr>
            <w:r w:rsidRPr="00AF3C58">
              <w:rPr>
                <w:rFonts w:ascii="Times New Roman" w:hAnsi="Times New Roman"/>
                <w:b/>
                <w:bCs/>
                <w:sz w:val="24"/>
                <w:szCs w:val="24"/>
              </w:rPr>
              <w:t>[1]</w:t>
            </w:r>
            <w:r w:rsidRPr="00AF3C58">
              <w:rPr>
                <w:rFonts w:ascii="Times New Roman" w:hAnsi="Times New Roman"/>
                <w:bCs/>
                <w:sz w:val="24"/>
                <w:szCs w:val="24"/>
              </w:rPr>
              <w:t xml:space="preserve"> </w:t>
            </w:r>
            <w:r w:rsidRPr="00AF3C58">
              <w:rPr>
                <w:rFonts w:ascii="Times New Roman" w:hAnsi="Times New Roman"/>
                <w:sz w:val="24"/>
                <w:szCs w:val="24"/>
              </w:rPr>
              <w:t>Atklāta konkursa nolikuma punkts: 4.1.7. „Pretendenta piedāvātā sertificētā</w:t>
            </w:r>
            <w:r w:rsidRPr="00AF3C58">
              <w:rPr>
                <w:rFonts w:ascii="Times New Roman" w:hAnsi="Times New Roman"/>
                <w:sz w:val="24"/>
                <w:szCs w:val="24"/>
              </w:rPr>
              <w:br/>
              <w:t>speciālista kvalifikācijas un pieredzes apraksts, kas sagatavots atbilstoši nolikumam</w:t>
            </w:r>
            <w:r w:rsidRPr="00AF3C58">
              <w:rPr>
                <w:rFonts w:ascii="Times New Roman" w:hAnsi="Times New Roman"/>
                <w:sz w:val="24"/>
                <w:szCs w:val="24"/>
              </w:rPr>
              <w:br/>
              <w:t xml:space="preserve">pievienotajai formai (5.pielikums). Par </w:t>
            </w:r>
            <w:proofErr w:type="spellStart"/>
            <w:r w:rsidRPr="00AF3C58">
              <w:rPr>
                <w:rFonts w:ascii="Times New Roman" w:hAnsi="Times New Roman"/>
                <w:sz w:val="24"/>
                <w:szCs w:val="24"/>
              </w:rPr>
              <w:t>būvspeciālista</w:t>
            </w:r>
            <w:proofErr w:type="spellEnd"/>
            <w:r w:rsidRPr="00AF3C58">
              <w:rPr>
                <w:rFonts w:ascii="Times New Roman" w:hAnsi="Times New Roman"/>
                <w:sz w:val="24"/>
                <w:szCs w:val="24"/>
              </w:rPr>
              <w:t xml:space="preserve"> sertifikāta spēkā esamību</w:t>
            </w:r>
            <w:r w:rsidRPr="00AF3C58">
              <w:rPr>
                <w:rFonts w:ascii="Times New Roman" w:hAnsi="Times New Roman"/>
                <w:sz w:val="24"/>
                <w:szCs w:val="24"/>
              </w:rPr>
              <w:br/>
              <w:t xml:space="preserve">iepirkumu komisija pārliecinās tīmekļvietnē </w:t>
            </w:r>
            <w:hyperlink r:id="rId4" w:history="1">
              <w:r w:rsidRPr="00AF3C58">
                <w:rPr>
                  <w:rFonts w:ascii="Times New Roman" w:hAnsi="Times New Roman"/>
                  <w:sz w:val="24"/>
                  <w:szCs w:val="24"/>
                  <w:u w:val="single"/>
                  <w:lang w:val="en-US"/>
                </w:rPr>
                <w:t>https://bis.gov.lv/bisp/</w:t>
              </w:r>
            </w:hyperlink>
            <w:r w:rsidRPr="00AF3C58">
              <w:rPr>
                <w:rFonts w:ascii="Times New Roman" w:hAnsi="Times New Roman"/>
                <w:sz w:val="24"/>
                <w:szCs w:val="24"/>
                <w:lang w:val="en-US"/>
              </w:rPr>
              <w:t xml:space="preserve">. </w:t>
            </w:r>
            <w:r w:rsidRPr="00AF3C58">
              <w:rPr>
                <w:rFonts w:ascii="Times New Roman" w:hAnsi="Times New Roman"/>
                <w:sz w:val="24"/>
                <w:szCs w:val="24"/>
                <w:u w:val="single"/>
              </w:rPr>
              <w:t>Atbildīgā</w:t>
            </w:r>
            <w:r w:rsidRPr="00AF3C58">
              <w:rPr>
                <w:rFonts w:ascii="Times New Roman" w:hAnsi="Times New Roman"/>
                <w:sz w:val="24"/>
                <w:szCs w:val="24"/>
                <w:u w:val="single"/>
              </w:rPr>
              <w:br/>
              <w:t>būvuzrauga</w:t>
            </w:r>
            <w:r w:rsidRPr="00AF3C58">
              <w:rPr>
                <w:rFonts w:ascii="Times New Roman" w:hAnsi="Times New Roman"/>
                <w:sz w:val="24"/>
                <w:szCs w:val="24"/>
              </w:rPr>
              <w:t xml:space="preserve"> pieredzes aprakstam obligāti jāpievieno būvuzrauga saistību raksta kopija</w:t>
            </w:r>
            <w:r w:rsidRPr="00AF3C58">
              <w:rPr>
                <w:rFonts w:ascii="Times New Roman" w:hAnsi="Times New Roman"/>
                <w:sz w:val="24"/>
                <w:szCs w:val="24"/>
              </w:rPr>
              <w:br/>
              <w:t>par pieredzes apliecinājumā norādītajiem objektiem vai citi dokumenti (atsauksmes</w:t>
            </w:r>
            <w:r w:rsidRPr="00AF3C58">
              <w:rPr>
                <w:rFonts w:ascii="Times New Roman" w:hAnsi="Times New Roman"/>
                <w:sz w:val="24"/>
                <w:szCs w:val="24"/>
              </w:rPr>
              <w:br/>
              <w:t>u.tml.), kas apliecina, ka attiecīgā persona ir veikusi attiecīgos pienākumus un</w:t>
            </w:r>
            <w:r w:rsidRPr="00AF3C58">
              <w:rPr>
                <w:rFonts w:ascii="Times New Roman" w:hAnsi="Times New Roman"/>
                <w:sz w:val="24"/>
                <w:szCs w:val="24"/>
              </w:rPr>
              <w:br/>
              <w:t>parakstījusi attiecīgos dokumentus".</w:t>
            </w:r>
          </w:p>
          <w:p w:rsidR="00F6495A" w:rsidRPr="00AF3C58" w:rsidRDefault="00F6495A" w:rsidP="004833C5">
            <w:pPr>
              <w:shd w:val="clear" w:color="auto" w:fill="FFFFFF"/>
              <w:spacing w:after="0"/>
              <w:ind w:firstLine="601"/>
              <w:jc w:val="both"/>
              <w:rPr>
                <w:rFonts w:ascii="Times New Roman" w:hAnsi="Times New Roman"/>
                <w:sz w:val="24"/>
                <w:szCs w:val="24"/>
              </w:rPr>
            </w:pPr>
            <w:r w:rsidRPr="00AF3C58">
              <w:rPr>
                <w:rFonts w:ascii="Times New Roman" w:hAnsi="Times New Roman"/>
                <w:sz w:val="24"/>
                <w:szCs w:val="24"/>
              </w:rPr>
              <w:t xml:space="preserve">Ja objekts „Stāmerienas pils", Gulbenes novads, Stāmerienas pagasts, ir valsts nozīmes arhitektūras piemineklis ar valsts aizsardzības Nr. 5092, un šādā objektā tiek veikti </w:t>
            </w:r>
            <w:r w:rsidRPr="00AF3C58">
              <w:rPr>
                <w:rFonts w:ascii="Times New Roman" w:hAnsi="Times New Roman"/>
                <w:spacing w:val="-2"/>
                <w:sz w:val="24"/>
                <w:szCs w:val="24"/>
              </w:rPr>
              <w:t>būvdarbi;</w:t>
            </w:r>
          </w:p>
          <w:p w:rsidR="00F6495A" w:rsidRPr="00AF3C58" w:rsidRDefault="00F6495A" w:rsidP="004833C5">
            <w:pPr>
              <w:shd w:val="clear" w:color="auto" w:fill="FFFFFF"/>
              <w:spacing w:before="80" w:after="0"/>
              <w:ind w:firstLine="459"/>
              <w:rPr>
                <w:rFonts w:ascii="Times New Roman" w:hAnsi="Times New Roman"/>
                <w:sz w:val="24"/>
                <w:szCs w:val="24"/>
              </w:rPr>
            </w:pPr>
            <w:r w:rsidRPr="00AF3C58">
              <w:rPr>
                <w:rFonts w:ascii="Times New Roman" w:hAnsi="Times New Roman"/>
                <w:spacing w:val="-1"/>
                <w:sz w:val="24"/>
                <w:szCs w:val="24"/>
                <w:u w:val="single"/>
              </w:rPr>
              <w:t>Jautājums</w:t>
            </w:r>
            <w:r w:rsidRPr="00AF3C58">
              <w:rPr>
                <w:rFonts w:ascii="Times New Roman" w:hAnsi="Times New Roman"/>
                <w:spacing w:val="-1"/>
                <w:sz w:val="24"/>
                <w:szCs w:val="24"/>
              </w:rPr>
              <w:t>:</w:t>
            </w:r>
          </w:p>
          <w:p w:rsidR="00F6495A" w:rsidRPr="00AF3C58" w:rsidRDefault="00F6495A" w:rsidP="004833C5">
            <w:pPr>
              <w:shd w:val="clear" w:color="auto" w:fill="FFFFFF"/>
              <w:ind w:left="7" w:firstLine="452"/>
              <w:jc w:val="both"/>
              <w:rPr>
                <w:rFonts w:ascii="Times New Roman" w:hAnsi="Times New Roman"/>
                <w:sz w:val="24"/>
                <w:szCs w:val="24"/>
              </w:rPr>
            </w:pPr>
            <w:r w:rsidRPr="00AF3C58">
              <w:rPr>
                <w:rFonts w:ascii="Times New Roman" w:hAnsi="Times New Roman"/>
                <w:sz w:val="24"/>
                <w:szCs w:val="24"/>
              </w:rPr>
              <w:t>Vai šādā gadījumā atbildīgajam būvuzraugam nevajadzētu būt ar atbilstošu restaurācijas būvuzraudzības sertifikātu būvuzraudzības veikšanai un kāpēc šāds nosacījums nav izvirzīts iepirkuma nolikumā būvuzrauga kvalifikācijai?</w:t>
            </w:r>
          </w:p>
          <w:p w:rsidR="00F6495A" w:rsidRPr="00AF3C58" w:rsidRDefault="00F6495A" w:rsidP="004833C5">
            <w:pPr>
              <w:spacing w:before="60"/>
              <w:ind w:firstLine="459"/>
              <w:jc w:val="both"/>
              <w:rPr>
                <w:rFonts w:ascii="Times New Roman" w:hAnsi="Times New Roman"/>
                <w:bCs/>
                <w:sz w:val="24"/>
                <w:szCs w:val="24"/>
              </w:rPr>
            </w:pPr>
          </w:p>
          <w:p w:rsidR="00F6495A" w:rsidRPr="00AF3C58" w:rsidRDefault="00F6495A" w:rsidP="004833C5">
            <w:pPr>
              <w:ind w:firstLine="459"/>
              <w:jc w:val="both"/>
              <w:rPr>
                <w:rFonts w:ascii="Times New Roman" w:hAnsi="Times New Roman"/>
                <w:bCs/>
                <w:sz w:val="24"/>
                <w:szCs w:val="24"/>
              </w:rPr>
            </w:pPr>
          </w:p>
          <w:p w:rsidR="00F6495A" w:rsidRPr="00AF3C58" w:rsidRDefault="00F6495A" w:rsidP="004833C5">
            <w:pPr>
              <w:ind w:firstLine="459"/>
              <w:jc w:val="both"/>
              <w:rPr>
                <w:rFonts w:ascii="Times New Roman" w:hAnsi="Times New Roman"/>
                <w:sz w:val="24"/>
                <w:szCs w:val="24"/>
              </w:rPr>
            </w:pPr>
          </w:p>
        </w:tc>
        <w:tc>
          <w:tcPr>
            <w:tcW w:w="4791" w:type="dxa"/>
            <w:shd w:val="clear" w:color="auto" w:fill="auto"/>
          </w:tcPr>
          <w:p w:rsidR="00F6495A" w:rsidRPr="00AF3C58" w:rsidRDefault="00F6495A" w:rsidP="004833C5">
            <w:pPr>
              <w:spacing w:before="60" w:after="0"/>
              <w:ind w:firstLine="448"/>
              <w:jc w:val="both"/>
              <w:rPr>
                <w:rFonts w:ascii="Times New Roman" w:hAnsi="Times New Roman"/>
                <w:sz w:val="24"/>
                <w:szCs w:val="24"/>
              </w:rPr>
            </w:pPr>
            <w:r w:rsidRPr="00AF3C58">
              <w:rPr>
                <w:rFonts w:ascii="Times New Roman" w:hAnsi="Times New Roman"/>
                <w:sz w:val="24"/>
                <w:szCs w:val="24"/>
              </w:rPr>
              <w:t xml:space="preserve">Publisko iepirkumu likuma 46.panta pirmajā daļā noteikts, ka pasūtītājs var noteikt prasības attiecībā uz piegādātāja tehniskajām un profesionālajām spējām, kas nepieciešamas iepirkuma līguma izpildei. Šādas prasības var attiekties uz līguma izpildē iesaistīto </w:t>
            </w:r>
            <w:r w:rsidRPr="00AF3C58">
              <w:rPr>
                <w:rStyle w:val="highlight"/>
                <w:rFonts w:ascii="Times New Roman" w:hAnsi="Times New Roman"/>
                <w:sz w:val="24"/>
                <w:szCs w:val="24"/>
              </w:rPr>
              <w:t>person</w:t>
            </w:r>
            <w:r w:rsidRPr="00AF3C58">
              <w:rPr>
                <w:rFonts w:ascii="Times New Roman" w:hAnsi="Times New Roman"/>
                <w:sz w:val="24"/>
                <w:szCs w:val="24"/>
              </w:rPr>
              <w:t>ālu, piegādātāja pieredzi un tehniskajiem resursiem. Saskaņā ar minētajām Publisko iepirkumu likuma normām, savu vajadzību formulēšana ir pasūtītāja prerogatīva, tādējādi pasūtītājam ir tiesības izvirzīt iepirkuma procedūras dokumentos savām vajadzībām atbilstošas prasības.</w:t>
            </w:r>
          </w:p>
          <w:p w:rsidR="00F6495A" w:rsidRPr="00AF3C58" w:rsidRDefault="00F6495A" w:rsidP="004833C5">
            <w:pPr>
              <w:spacing w:after="0"/>
              <w:ind w:firstLine="448"/>
              <w:jc w:val="both"/>
              <w:rPr>
                <w:rFonts w:ascii="Times New Roman" w:hAnsi="Times New Roman"/>
                <w:sz w:val="24"/>
                <w:szCs w:val="24"/>
              </w:rPr>
            </w:pPr>
            <w:r w:rsidRPr="00AF3C58">
              <w:rPr>
                <w:rFonts w:ascii="Times New Roman" w:hAnsi="Times New Roman"/>
                <w:sz w:val="24"/>
                <w:szCs w:val="24"/>
              </w:rPr>
              <w:t xml:space="preserve">Iepriekš izsludinātajā atklātā konkursā </w:t>
            </w:r>
            <w:r w:rsidRPr="00AF3C58">
              <w:rPr>
                <w:rFonts w:ascii="Times New Roman" w:hAnsi="Times New Roman"/>
                <w:color w:val="000000"/>
                <w:sz w:val="24"/>
                <w:szCs w:val="24"/>
              </w:rPr>
              <w:t xml:space="preserve">par </w:t>
            </w:r>
            <w:r w:rsidRPr="00AF3C58">
              <w:rPr>
                <w:rFonts w:ascii="Times New Roman" w:hAnsi="Times New Roman"/>
                <w:sz w:val="24"/>
                <w:szCs w:val="24"/>
              </w:rPr>
              <w:t>Stāmerienas pils jumta un fasādes atjaunošanas un restaurācijas būvuzraudzību, kura nolikumā bija iekļauta prasība nodrošināt speciālistu, kurš ir sertificēts restaurācijas būvdarbu būvuzraudzībā, netika iesniegts neviens piedāvājums. Līdz ar ko pasūtītājs konstatēja, ka, iespējams, konkursa nolikumā pretendentam ir noteiktas pārāk augstas prasības, kas sašaurina potenciālo pretendentu loku.</w:t>
            </w:r>
          </w:p>
          <w:p w:rsidR="00F6495A" w:rsidRPr="00AF3C58" w:rsidRDefault="00F6495A" w:rsidP="004833C5">
            <w:pPr>
              <w:spacing w:after="0"/>
              <w:ind w:firstLine="448"/>
              <w:jc w:val="both"/>
              <w:rPr>
                <w:rFonts w:ascii="Times New Roman" w:hAnsi="Times New Roman"/>
                <w:sz w:val="24"/>
                <w:szCs w:val="24"/>
              </w:rPr>
            </w:pPr>
            <w:r w:rsidRPr="00AF3C58">
              <w:rPr>
                <w:rFonts w:ascii="Times New Roman" w:hAnsi="Times New Roman"/>
                <w:sz w:val="24"/>
                <w:szCs w:val="24"/>
              </w:rPr>
              <w:t xml:space="preserve">Attiecībā uz būvdarbiem objektā, kas ir valsts nozīmes arhitektūras piemineklis,  pasūtītājs, lai būtu drošs, ka saņems savām vajadzībām atbilstošu piedāvājumu, saskaņā ar Publisko iepirkumu likuma 46.panta otro daļu, kurā noteikts, ka Iepirkuma procedūrās par piegādēm, kurās paredzēta izvietošana vai uzstādīšana, pakalpojumi vai būvdarbi, piegādātāja profesionālās spējas sniegt pakalpojumu vai nodrošināt uzstādīšanu, vai veikt būvdarbus var novērtēt, ņemot vērā tā prasmes, efektivitāti un pieredzi, pēc analoģijas nolēma vērtēt arī attiecībā uz pretendenta rīcībā esoša sertificēta ēku būvuzrauga (kas tiek nozīmēts kā atbildīgais būvuzraugs), pieredzi, proti, nosakot, ka tam kā atbildīgajam būvuzraugam ir jābūt pieredzei vismaz 1 (vienas) </w:t>
            </w:r>
            <w:r w:rsidRPr="00AF3C58">
              <w:rPr>
                <w:rFonts w:ascii="Times New Roman" w:hAnsi="Times New Roman"/>
                <w:sz w:val="24"/>
                <w:szCs w:val="24"/>
                <w:u w:val="single"/>
              </w:rPr>
              <w:t>mūra</w:t>
            </w:r>
            <w:r w:rsidRPr="00AF3C58">
              <w:rPr>
                <w:rFonts w:ascii="Times New Roman" w:hAnsi="Times New Roman"/>
                <w:sz w:val="24"/>
                <w:szCs w:val="24"/>
              </w:rPr>
              <w:t xml:space="preserve"> </w:t>
            </w:r>
            <w:r w:rsidRPr="00AF3C58">
              <w:rPr>
                <w:rFonts w:ascii="Times New Roman" w:hAnsi="Times New Roman"/>
                <w:sz w:val="24"/>
                <w:szCs w:val="24"/>
                <w:lang w:bidi="ne-NP"/>
              </w:rPr>
              <w:t xml:space="preserve">ēkas ar valsts vai vietējās nozīmes </w:t>
            </w:r>
            <w:r w:rsidRPr="00AF3C58">
              <w:rPr>
                <w:rFonts w:ascii="Times New Roman" w:hAnsi="Times New Roman"/>
                <w:sz w:val="24"/>
                <w:szCs w:val="24"/>
                <w:lang w:bidi="ne-NP"/>
              </w:rPr>
              <w:lastRenderedPageBreak/>
              <w:t>arhitektūras pieminekļa statusu</w:t>
            </w:r>
            <w:r w:rsidRPr="00AF3C58">
              <w:rPr>
                <w:rFonts w:ascii="Times New Roman" w:hAnsi="Times New Roman"/>
                <w:sz w:val="24"/>
                <w:szCs w:val="24"/>
              </w:rPr>
              <w:t xml:space="preserve"> </w:t>
            </w:r>
            <w:r w:rsidRPr="00AF3C58">
              <w:rPr>
                <w:rFonts w:ascii="Times New Roman" w:hAnsi="Times New Roman"/>
                <w:sz w:val="24"/>
                <w:szCs w:val="24"/>
                <w:lang w:bidi="ne-NP"/>
              </w:rPr>
              <w:t xml:space="preserve">(Latvijā vai ārvalstī) </w:t>
            </w:r>
            <w:r w:rsidRPr="00AF3C58">
              <w:rPr>
                <w:rFonts w:ascii="Times New Roman" w:hAnsi="Times New Roman"/>
                <w:sz w:val="24"/>
                <w:szCs w:val="24"/>
              </w:rPr>
              <w:t>pārbūves darbu būvuzraudzībā.</w:t>
            </w:r>
          </w:p>
          <w:p w:rsidR="00F6495A" w:rsidRPr="00AF3C58" w:rsidRDefault="00F6495A" w:rsidP="004833C5">
            <w:pPr>
              <w:spacing w:after="0"/>
              <w:ind w:firstLine="448"/>
              <w:jc w:val="both"/>
              <w:rPr>
                <w:rFonts w:ascii="Times New Roman" w:hAnsi="Times New Roman"/>
                <w:sz w:val="24"/>
                <w:szCs w:val="24"/>
              </w:rPr>
            </w:pPr>
            <w:r w:rsidRPr="00AF3C58">
              <w:rPr>
                <w:rFonts w:ascii="Times New Roman" w:hAnsi="Times New Roman"/>
                <w:sz w:val="24"/>
                <w:szCs w:val="24"/>
              </w:rPr>
              <w:t>Tāpat atklāta konkursa nolikuma 8.pielikumā, kas ir iepirkuma līguma projekts, 1.1.punktā ir noteikta prasība, ka Pasūtītājs uzdod, un Izpildītājs visā būvniecības laikā apņemas veikt būvuzraudzību atbilstoši normatīvo aktu prasībām, ar ko skaidri tiek noteikts – ja, saskaņā ar LR normatīvo aktu prasībām konkrēto būvuzraudzības darbu izpildē ir nepieciešams iesaistīt speciālistu/-</w:t>
            </w:r>
            <w:proofErr w:type="spellStart"/>
            <w:r w:rsidRPr="00AF3C58">
              <w:rPr>
                <w:rFonts w:ascii="Times New Roman" w:hAnsi="Times New Roman"/>
                <w:sz w:val="24"/>
                <w:szCs w:val="24"/>
              </w:rPr>
              <w:t>us</w:t>
            </w:r>
            <w:proofErr w:type="spellEnd"/>
            <w:r w:rsidRPr="00AF3C58">
              <w:rPr>
                <w:rFonts w:ascii="Times New Roman" w:hAnsi="Times New Roman"/>
                <w:sz w:val="24"/>
                <w:szCs w:val="24"/>
              </w:rPr>
              <w:t xml:space="preserve"> ar konkrētu izglītību vai kvalifikāciju, tad pretendentam jebkurā gadījumā ir pienākums šīs prasības pildīt.</w:t>
            </w:r>
          </w:p>
        </w:tc>
      </w:tr>
      <w:tr w:rsidR="00F6495A" w:rsidRPr="00AF3C58" w:rsidTr="004833C5">
        <w:tc>
          <w:tcPr>
            <w:tcW w:w="4565" w:type="dxa"/>
            <w:shd w:val="clear" w:color="auto" w:fill="auto"/>
          </w:tcPr>
          <w:p w:rsidR="00F6495A" w:rsidRPr="00AF3C58" w:rsidRDefault="00F6495A" w:rsidP="004833C5">
            <w:pPr>
              <w:shd w:val="clear" w:color="auto" w:fill="FFFFFF"/>
              <w:tabs>
                <w:tab w:val="left" w:pos="743"/>
              </w:tabs>
              <w:spacing w:before="60" w:after="0"/>
              <w:ind w:firstLine="601"/>
              <w:jc w:val="both"/>
              <w:rPr>
                <w:rFonts w:ascii="Times New Roman" w:hAnsi="Times New Roman"/>
                <w:sz w:val="24"/>
                <w:szCs w:val="24"/>
              </w:rPr>
            </w:pPr>
            <w:r w:rsidRPr="00AF3C58">
              <w:rPr>
                <w:rFonts w:ascii="Times New Roman" w:hAnsi="Times New Roman"/>
                <w:b/>
                <w:bCs/>
                <w:sz w:val="24"/>
                <w:szCs w:val="24"/>
              </w:rPr>
              <w:lastRenderedPageBreak/>
              <w:t xml:space="preserve">[2] </w:t>
            </w:r>
            <w:r w:rsidRPr="00AF3C58">
              <w:rPr>
                <w:rFonts w:ascii="Times New Roman" w:hAnsi="Times New Roman"/>
                <w:sz w:val="24"/>
                <w:szCs w:val="24"/>
              </w:rPr>
              <w:t>Atklāta konkursa nolikuma punkts: 3.2.1. „Pretendentam iepriekšējo 5 (piecu) gadu laikā (līdz piedāvājuma iesniegšanai) ir pozitīva pieredze vismaz 2 (divu) mūra ēku ar</w:t>
            </w:r>
            <w:r w:rsidRPr="00AF3C58">
              <w:rPr>
                <w:rFonts w:ascii="Times New Roman" w:hAnsi="Times New Roman"/>
                <w:sz w:val="24"/>
                <w:szCs w:val="24"/>
              </w:rPr>
              <w:br/>
              <w:t>valsts vai vietējās nozīmes arhitektūras pieminekļa statusu (Latvijā vai ārvalstī)</w:t>
            </w:r>
            <w:r w:rsidRPr="00AF3C58">
              <w:rPr>
                <w:rFonts w:ascii="Times New Roman" w:hAnsi="Times New Roman"/>
                <w:sz w:val="24"/>
                <w:szCs w:val="24"/>
              </w:rPr>
              <w:br/>
              <w:t>pārbūves vai restaurācijas būvdarbu būvuzraudzības veikšanā, kuru kopējā</w:t>
            </w:r>
            <w:r w:rsidRPr="00AF3C58">
              <w:rPr>
                <w:rFonts w:ascii="Times New Roman" w:hAnsi="Times New Roman"/>
                <w:sz w:val="24"/>
                <w:szCs w:val="24"/>
              </w:rPr>
              <w:br/>
              <w:t xml:space="preserve">līgumsumma par būvuzraudzību ir bijusi vismaz 10 000,00 EUR (desmit tūkstoši </w:t>
            </w:r>
            <w:proofErr w:type="spellStart"/>
            <w:r w:rsidRPr="00AF3C58">
              <w:rPr>
                <w:rFonts w:ascii="Times New Roman" w:hAnsi="Times New Roman"/>
                <w:i/>
                <w:iCs/>
                <w:sz w:val="24"/>
                <w:szCs w:val="24"/>
              </w:rPr>
              <w:t>euro</w:t>
            </w:r>
            <w:proofErr w:type="spellEnd"/>
            <w:r w:rsidRPr="00AF3C58">
              <w:rPr>
                <w:rFonts w:ascii="Times New Roman" w:hAnsi="Times New Roman"/>
                <w:i/>
                <w:iCs/>
                <w:sz w:val="24"/>
                <w:szCs w:val="24"/>
              </w:rPr>
              <w:t>,</w:t>
            </w:r>
            <w:r w:rsidRPr="00AF3C58">
              <w:rPr>
                <w:rFonts w:ascii="Times New Roman" w:hAnsi="Times New Roman"/>
                <w:i/>
                <w:iCs/>
                <w:sz w:val="24"/>
                <w:szCs w:val="24"/>
              </w:rPr>
              <w:br/>
            </w:r>
            <w:r w:rsidRPr="00AF3C58">
              <w:rPr>
                <w:rFonts w:ascii="Times New Roman" w:hAnsi="Times New Roman"/>
                <w:sz w:val="24"/>
                <w:szCs w:val="24"/>
              </w:rPr>
              <w:t>00 centi). Būves ir pabeigtas un nodotas ekspluatācijā"</w:t>
            </w:r>
          </w:p>
          <w:p w:rsidR="00F6495A" w:rsidRDefault="00F6495A" w:rsidP="004833C5">
            <w:pPr>
              <w:shd w:val="clear" w:color="auto" w:fill="FFFFFF"/>
              <w:tabs>
                <w:tab w:val="left" w:pos="6257"/>
              </w:tabs>
              <w:spacing w:before="80" w:after="0"/>
              <w:ind w:left="6" w:firstLine="454"/>
              <w:jc w:val="both"/>
              <w:rPr>
                <w:rFonts w:ascii="Times New Roman" w:hAnsi="Times New Roman"/>
                <w:sz w:val="24"/>
                <w:szCs w:val="24"/>
              </w:rPr>
            </w:pPr>
            <w:r w:rsidRPr="00AF3C58">
              <w:rPr>
                <w:rFonts w:ascii="Times New Roman" w:hAnsi="Times New Roman"/>
                <w:spacing w:val="-3"/>
                <w:sz w:val="24"/>
                <w:szCs w:val="24"/>
                <w:u w:val="single"/>
              </w:rPr>
              <w:t>Jautājums</w:t>
            </w:r>
            <w:r w:rsidRPr="00AF3C58">
              <w:rPr>
                <w:rFonts w:ascii="Times New Roman" w:hAnsi="Times New Roman"/>
                <w:spacing w:val="-3"/>
                <w:sz w:val="24"/>
                <w:szCs w:val="24"/>
              </w:rPr>
              <w:t>:</w:t>
            </w:r>
          </w:p>
          <w:p w:rsidR="00F6495A" w:rsidRPr="00AF3C58" w:rsidRDefault="00F6495A" w:rsidP="004833C5">
            <w:pPr>
              <w:shd w:val="clear" w:color="auto" w:fill="FFFFFF"/>
              <w:tabs>
                <w:tab w:val="left" w:pos="6257"/>
              </w:tabs>
              <w:ind w:left="7" w:firstLine="452"/>
              <w:jc w:val="both"/>
              <w:rPr>
                <w:rFonts w:ascii="Times New Roman" w:hAnsi="Times New Roman"/>
                <w:sz w:val="24"/>
                <w:szCs w:val="24"/>
              </w:rPr>
            </w:pPr>
            <w:r w:rsidRPr="00AF3C58">
              <w:rPr>
                <w:rFonts w:ascii="Times New Roman" w:hAnsi="Times New Roman"/>
                <w:sz w:val="24"/>
                <w:szCs w:val="24"/>
              </w:rPr>
              <w:t>Vai pretendenta profesionalitāti būvuzraudzībā nosaka naudas izteiksme, par kādu summu ir bijusi veikta būvuzraudzība? Vai tomēr to nosaka, objekta vērtība un atbilstība nolikumā izvirzītajām prasībām.</w:t>
            </w:r>
          </w:p>
        </w:tc>
        <w:tc>
          <w:tcPr>
            <w:tcW w:w="4791" w:type="dxa"/>
            <w:shd w:val="clear" w:color="auto" w:fill="auto"/>
          </w:tcPr>
          <w:p w:rsidR="00F6495A" w:rsidRPr="00AF3C58" w:rsidRDefault="00F6495A" w:rsidP="004833C5">
            <w:pPr>
              <w:spacing w:before="60" w:after="0"/>
              <w:ind w:firstLine="448"/>
              <w:jc w:val="both"/>
              <w:rPr>
                <w:rFonts w:ascii="Times New Roman" w:hAnsi="Times New Roman"/>
                <w:sz w:val="24"/>
                <w:szCs w:val="24"/>
              </w:rPr>
            </w:pPr>
            <w:r w:rsidRPr="00AF3C58">
              <w:rPr>
                <w:rFonts w:ascii="Times New Roman" w:hAnsi="Times New Roman"/>
                <w:sz w:val="24"/>
                <w:szCs w:val="24"/>
              </w:rPr>
              <w:t xml:space="preserve">Saskaņā ar Publisko iepirkumu likuma normām, savu vajadzību formulēšana ir pasūtītāja prerogatīva, tādējādi pasūtītājam ir tiesības izvirzīt iepirkuma procedūras dokumentos savām vajadzībām atbilstošas prasības. </w:t>
            </w:r>
          </w:p>
          <w:p w:rsidR="00F6495A" w:rsidRPr="00AF3C58" w:rsidRDefault="00F6495A" w:rsidP="004833C5">
            <w:pPr>
              <w:pStyle w:val="Pamatteksts"/>
              <w:spacing w:after="0" w:line="276" w:lineRule="auto"/>
              <w:ind w:firstLine="510"/>
              <w:jc w:val="both"/>
              <w:rPr>
                <w:i/>
              </w:rPr>
            </w:pPr>
            <w:r w:rsidRPr="00AF3C58">
              <w:t>Pasūtītāja ieskatā, noteiktās prasības attiecībā uz pieredzei, ka pretendentam jābūt veikušam vismaz 2 (divu) mūra ēku ar</w:t>
            </w:r>
            <w:r w:rsidRPr="00AF3C58">
              <w:br/>
              <w:t>valsts vai vietējās nozīmes arhitektūras pieminekļa statusu (Latvijā vai ārvalstī)</w:t>
            </w:r>
            <w:r w:rsidRPr="00AF3C58">
              <w:br/>
              <w:t>pārbūves vai restaurācijas būvdarbu būvuzraudzību, atbilst iepirkuma priekšmetam. Būvuzraudzības līguma gadījumā pieredze tiek apliecināta ar pabeigtiem būvdarbiem no tāda viedokļa, ka būvuzraudzība ir veikta objektā, kas ir nodots ekspluatācijā, un līdzīgi kā būvdarbu līguma gadījumā, pieredzi par veiktajiem būvuzraudzības darbiem pretendents ir tiesīgs apliecināt par iepriekšējo 5 gadu periodu. Turklāt, atbilstoši vispārējai praksei būvuzraudzības pakalpojumu līgumcenu pretendenti piedāvā kā procentuālu naudas izteiksmi no attiecīgā objekta būvdarbu izmaksām.</w:t>
            </w:r>
          </w:p>
        </w:tc>
      </w:tr>
    </w:tbl>
    <w:p w:rsidR="004D3B66" w:rsidRPr="00F6495A" w:rsidRDefault="004D3B66" w:rsidP="00F6495A">
      <w:bookmarkStart w:id="0" w:name="_GoBack"/>
      <w:bookmarkEnd w:id="0"/>
    </w:p>
    <w:sectPr w:rsidR="004D3B66" w:rsidRPr="00F649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95A"/>
    <w:rsid w:val="004D3B66"/>
    <w:rsid w:val="00F649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5BFC6-4325-4765-992C-BF35E043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6495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ighlight">
    <w:name w:val="highlight"/>
    <w:rsid w:val="00F6495A"/>
  </w:style>
  <w:style w:type="paragraph" w:styleId="Pamatteksts">
    <w:name w:val="Body Text"/>
    <w:basedOn w:val="Parasts"/>
    <w:link w:val="PamattekstsRakstz"/>
    <w:rsid w:val="00F6495A"/>
    <w:pPr>
      <w:widowControl w:val="0"/>
      <w:suppressAutoHyphens/>
      <w:spacing w:after="120" w:line="240" w:lineRule="auto"/>
    </w:pPr>
    <w:rPr>
      <w:rFonts w:ascii="Times New Roman" w:eastAsia="Andale Sans UI" w:hAnsi="Times New Roman"/>
      <w:kern w:val="1"/>
      <w:sz w:val="24"/>
      <w:szCs w:val="24"/>
    </w:rPr>
  </w:style>
  <w:style w:type="character" w:customStyle="1" w:styleId="PamattekstsRakstz">
    <w:name w:val="Pamatteksts Rakstz."/>
    <w:basedOn w:val="Noklusjumarindkopasfonts"/>
    <w:link w:val="Pamatteksts"/>
    <w:rsid w:val="00F6495A"/>
    <w:rPr>
      <w:rFonts w:ascii="Times New Roman" w:eastAsia="Andale Sans UI"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s.gov.lv/bisp/"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3256</Words>
  <Characters>1857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Gunda Krikova</cp:lastModifiedBy>
  <cp:revision>1</cp:revision>
  <dcterms:created xsi:type="dcterms:W3CDTF">2018-03-09T08:27:00Z</dcterms:created>
  <dcterms:modified xsi:type="dcterms:W3CDTF">2018-03-09T08:27:00Z</dcterms:modified>
</cp:coreProperties>
</file>