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21.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projekta personāla mobilitātes sporta jomā “Ēnošana darba vietā”  Nr.2024-1-LV01-KA182-SPO-000238761 realizēšanai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Reinis Felders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projekta “ZEME — izglītošana atjaunojamo tehnoloģiju un paradumu pārņemšanai”  Nr.2024-1-LV01-KA220-SCH-000250652 realizēšanai Gulbenes novada vidusskolā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Dita Grigore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pašvaldības domes 2023.gada 31.augusta nolikumā Nr.GND/IEK/2023/20 “Gulbenes novada Pedagoģiski medicīniskās komisijas nolikums””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“Par stipendijām Gulbenes novada pašvaldības izglītības iestāžu skolēniem”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“Profesionālās ievirzes mākslas skolas “Gulbenes Mākslas skola” nolikums”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Sandra Dikmane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</w:t>
      </w:r>
      <w:r w:rsidRPr="0016506D">
        <w:rPr>
          <w:noProof/>
          <w:color w:val="000000" w:themeColor="text1"/>
          <w:szCs w:val="24"/>
          <w:u w:val="none"/>
        </w:rPr>
        <w:t xml:space="preserve"> par Stāmerienas pagasta (Iesniedzējs Stāmerienas pils) dalību projekta "Baltijas jūras reģiona kultūras pērles noturīgākām pilsētām un reģioniem (BSR Cultural Pearls)" dalībai konkursā.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Anita Birzniece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