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2025.-2030.gadam projekta nodošanu publiskajai apspriešanai un atzinumu saņemšanai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