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222A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47E15">
              <w:rPr>
                <w:rFonts w:ascii="Times New Roman" w:hAnsi="Times New Roman" w:cs="Times New Roman"/>
                <w:b/>
                <w:bCs/>
                <w:sz w:val="24"/>
                <w:szCs w:val="24"/>
              </w:rPr>
              <w:t>26.septembrī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E9866F6"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23EB" w:rsidRPr="000823EB">
        <w:rPr>
          <w:b/>
        </w:rPr>
        <w:t xml:space="preserve">Druvienas pagastā ar nosaukumu “Lauka </w:t>
      </w:r>
      <w:proofErr w:type="spellStart"/>
      <w:r w:rsidR="000823EB" w:rsidRPr="000823EB">
        <w:rPr>
          <w:b/>
        </w:rPr>
        <w:t>Svilāres</w:t>
      </w:r>
      <w:proofErr w:type="spellEnd"/>
      <w:r w:rsidR="002118EE" w:rsidRPr="002118EE">
        <w:rPr>
          <w:b/>
        </w:rPr>
        <w:t>”</w:t>
      </w:r>
      <w:r w:rsidR="000823EB">
        <w:rPr>
          <w:b/>
        </w:rPr>
        <w:t xml:space="preserve"> </w:t>
      </w:r>
      <w:r w:rsidR="00647E15">
        <w:rPr>
          <w:b/>
        </w:rPr>
        <w:t>otrās</w:t>
      </w:r>
      <w:r w:rsidRPr="00255026">
        <w:rPr>
          <w:b/>
        </w:rPr>
        <w:t xml:space="preserve"> izsoles rīkošanu, noteikumu un sākumcenas apstiprināšanu</w:t>
      </w:r>
    </w:p>
    <w:p w14:paraId="7E6E2E6F" w14:textId="788CD266" w:rsidR="00647E15" w:rsidRDefault="00647E15" w:rsidP="00647E15">
      <w:pPr>
        <w:widowControl w:val="0"/>
        <w:spacing w:line="360" w:lineRule="auto"/>
        <w:ind w:firstLine="567"/>
        <w:jc w:val="both"/>
        <w:rPr>
          <w:rFonts w:ascii="Times New Roman" w:hAnsi="Times New Roman" w:cs="Times New Roman"/>
          <w:sz w:val="24"/>
          <w:szCs w:val="24"/>
        </w:rPr>
      </w:pPr>
      <w:r w:rsidRPr="00647E15">
        <w:rPr>
          <w:rFonts w:ascii="Times New Roman" w:hAnsi="Times New Roman" w:cs="Times New Roman"/>
          <w:sz w:val="24"/>
          <w:szCs w:val="24"/>
        </w:rPr>
        <w:t>Gulbenes novada pašvaldības dome 2024.gada 25.</w:t>
      </w:r>
      <w:r>
        <w:rPr>
          <w:rFonts w:ascii="Times New Roman" w:hAnsi="Times New Roman" w:cs="Times New Roman"/>
          <w:sz w:val="24"/>
          <w:szCs w:val="24"/>
        </w:rPr>
        <w:t>jūlijā</w:t>
      </w:r>
      <w:r w:rsidRPr="00647E15">
        <w:rPr>
          <w:rFonts w:ascii="Times New Roman" w:hAnsi="Times New Roman" w:cs="Times New Roman"/>
          <w:sz w:val="24"/>
          <w:szCs w:val="24"/>
        </w:rPr>
        <w:t xml:space="preserve"> pieņēma lēmumu Nr. GND/2024/</w:t>
      </w:r>
      <w:r>
        <w:rPr>
          <w:rFonts w:ascii="Times New Roman" w:hAnsi="Times New Roman" w:cs="Times New Roman"/>
          <w:sz w:val="24"/>
          <w:szCs w:val="24"/>
        </w:rPr>
        <w:t>437</w:t>
      </w:r>
      <w:r w:rsidRPr="00647E15">
        <w:rPr>
          <w:rFonts w:ascii="Times New Roman" w:hAnsi="Times New Roman" w:cs="Times New Roman"/>
          <w:sz w:val="24"/>
          <w:szCs w:val="24"/>
        </w:rPr>
        <w:t xml:space="preserve"> “Par nekustamā īpašuma Druvienas pagastā ar nosaukumu “Lauka </w:t>
      </w:r>
      <w:proofErr w:type="spellStart"/>
      <w:r w:rsidRPr="00647E15">
        <w:rPr>
          <w:rFonts w:ascii="Times New Roman" w:hAnsi="Times New Roman" w:cs="Times New Roman"/>
          <w:sz w:val="24"/>
          <w:szCs w:val="24"/>
        </w:rPr>
        <w:t>Svilāres</w:t>
      </w:r>
      <w:proofErr w:type="spellEnd"/>
      <w:r w:rsidRPr="00647E15">
        <w:rPr>
          <w:rFonts w:ascii="Times New Roman" w:hAnsi="Times New Roman" w:cs="Times New Roman"/>
          <w:sz w:val="24"/>
          <w:szCs w:val="24"/>
        </w:rPr>
        <w:t>” pirmās izsoles rīkošanu, noteikumu un sākumcenas apstiprināšanu” (protokols Nr. 1</w:t>
      </w:r>
      <w:r>
        <w:rPr>
          <w:rFonts w:ascii="Times New Roman" w:hAnsi="Times New Roman" w:cs="Times New Roman"/>
          <w:sz w:val="24"/>
          <w:szCs w:val="24"/>
        </w:rPr>
        <w:t>5</w:t>
      </w:r>
      <w:r w:rsidRPr="00647E15">
        <w:rPr>
          <w:rFonts w:ascii="Times New Roman" w:hAnsi="Times New Roman" w:cs="Times New Roman"/>
          <w:sz w:val="24"/>
          <w:szCs w:val="24"/>
        </w:rPr>
        <w:t xml:space="preserve">; </w:t>
      </w:r>
      <w:r>
        <w:rPr>
          <w:rFonts w:ascii="Times New Roman" w:hAnsi="Times New Roman" w:cs="Times New Roman"/>
          <w:sz w:val="24"/>
          <w:szCs w:val="24"/>
        </w:rPr>
        <w:t>64</w:t>
      </w:r>
      <w:r w:rsidRPr="00647E15">
        <w:rPr>
          <w:rFonts w:ascii="Times New Roman" w:hAnsi="Times New Roman" w:cs="Times New Roman"/>
          <w:sz w:val="24"/>
          <w:szCs w:val="24"/>
        </w:rPr>
        <w:t>.p.)</w:t>
      </w:r>
      <w:r w:rsidR="00893758">
        <w:rPr>
          <w:rFonts w:ascii="Times New Roman" w:hAnsi="Times New Roman" w:cs="Times New Roman"/>
          <w:sz w:val="24"/>
          <w:szCs w:val="24"/>
        </w:rPr>
        <w:t xml:space="preserve">, ar kuru nolēma rīkot </w:t>
      </w:r>
      <w:r w:rsidR="00893758" w:rsidRPr="00893758">
        <w:rPr>
          <w:rFonts w:ascii="Times New Roman" w:hAnsi="Times New Roman" w:cs="Times New Roman"/>
          <w:sz w:val="24"/>
          <w:szCs w:val="24"/>
        </w:rPr>
        <w:t xml:space="preserve">Druvienas pagastā ar nosaukumu “Lauka </w:t>
      </w:r>
      <w:proofErr w:type="spellStart"/>
      <w:r w:rsidR="00893758" w:rsidRPr="00893758">
        <w:rPr>
          <w:rFonts w:ascii="Times New Roman" w:hAnsi="Times New Roman" w:cs="Times New Roman"/>
          <w:sz w:val="24"/>
          <w:szCs w:val="24"/>
        </w:rPr>
        <w:t>Svilāres</w:t>
      </w:r>
      <w:proofErr w:type="spellEnd"/>
      <w:r w:rsidR="00893758" w:rsidRPr="00893758">
        <w:rPr>
          <w:rFonts w:ascii="Times New Roman" w:hAnsi="Times New Roman" w:cs="Times New Roman"/>
          <w:sz w:val="24"/>
          <w:szCs w:val="24"/>
        </w:rPr>
        <w:t xml:space="preserve">”, kadastra numurs 5052 001 0100, kas sastāv no zemes vienības ar kadastra apzīmējumu 50520010097 ar platību 15,3 ha un uz tās esošās mežaudzes 5,67 ha platībā, un pārplūstoša klajuma 0,83 ha </w:t>
      </w:r>
      <w:r w:rsidRPr="00647E15">
        <w:rPr>
          <w:rFonts w:ascii="Times New Roman" w:hAnsi="Times New Roman" w:cs="Times New Roman"/>
          <w:sz w:val="24"/>
          <w:szCs w:val="24"/>
        </w:rPr>
        <w:t>(turpmāk – Nekustamais īpašums),</w:t>
      </w:r>
      <w:r>
        <w:rPr>
          <w:rFonts w:ascii="Times New Roman" w:hAnsi="Times New Roman" w:cs="Times New Roman"/>
          <w:sz w:val="24"/>
          <w:szCs w:val="24"/>
        </w:rPr>
        <w:t xml:space="preserve"> elektronisko</w:t>
      </w:r>
      <w:r w:rsidRPr="00647E15">
        <w:rPr>
          <w:rFonts w:ascii="Times New Roman" w:hAnsi="Times New Roman" w:cs="Times New Roman"/>
          <w:sz w:val="24"/>
          <w:szCs w:val="24"/>
        </w:rPr>
        <w:t xml:space="preserve"> izsoli, apstiprināt</w:t>
      </w:r>
      <w:r>
        <w:rPr>
          <w:rFonts w:ascii="Times New Roman" w:hAnsi="Times New Roman" w:cs="Times New Roman"/>
          <w:sz w:val="24"/>
          <w:szCs w:val="24"/>
        </w:rPr>
        <w:t xml:space="preserve"> pirmās</w:t>
      </w:r>
      <w:r w:rsidRPr="00647E15">
        <w:rPr>
          <w:rFonts w:ascii="Times New Roman" w:hAnsi="Times New Roman" w:cs="Times New Roman"/>
          <w:sz w:val="24"/>
          <w:szCs w:val="24"/>
        </w:rPr>
        <w:t xml:space="preserve"> izsoles noteikumus un nosacīto cenu. Pirmās izsoles apstiprinātā nosacītā cena (izsoles sākumcena) </w:t>
      </w:r>
      <w:r w:rsidRPr="000823EB">
        <w:rPr>
          <w:rFonts w:ascii="Times New Roman" w:hAnsi="Times New Roman" w:cs="Times New Roman"/>
          <w:sz w:val="24"/>
          <w:szCs w:val="24"/>
        </w:rPr>
        <w:t xml:space="preserve">43800 EUR (četrdesmit trīs tūkstoši astoņi simti </w:t>
      </w:r>
      <w:r w:rsidRPr="00647E15">
        <w:rPr>
          <w:rFonts w:ascii="Times New Roman" w:hAnsi="Times New Roman" w:cs="Times New Roman"/>
          <w:i/>
          <w:iCs/>
          <w:sz w:val="24"/>
          <w:szCs w:val="24"/>
        </w:rPr>
        <w:t>euro</w:t>
      </w:r>
      <w:r w:rsidRPr="00647E15">
        <w:rPr>
          <w:rFonts w:ascii="Times New Roman" w:hAnsi="Times New Roman" w:cs="Times New Roman"/>
          <w:sz w:val="24"/>
          <w:szCs w:val="24"/>
        </w:rPr>
        <w:t>).</w:t>
      </w:r>
    </w:p>
    <w:p w14:paraId="30B3D306" w14:textId="2BFF55A7" w:rsidR="00647E15" w:rsidRDefault="00647E15" w:rsidP="00647E1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Elektroniskā izsole tika rīkota elektronisko izsoļu vietnē - </w:t>
      </w:r>
      <w:hyperlink r:id="rId7" w:history="1">
        <w:r w:rsidRPr="00B93D6C">
          <w:rPr>
            <w:rStyle w:val="Hipersaite"/>
            <w:rFonts w:ascii="Times New Roman" w:hAnsi="Times New Roman" w:cs="Times New Roman"/>
            <w:sz w:val="24"/>
            <w:szCs w:val="24"/>
          </w:rPr>
          <w:t>https://izsoles.ta.gov.lv</w:t>
        </w:r>
      </w:hyperlink>
      <w:r>
        <w:rPr>
          <w:rFonts w:ascii="Times New Roman" w:hAnsi="Times New Roman" w:cs="Times New Roman"/>
          <w:sz w:val="24"/>
          <w:szCs w:val="24"/>
        </w:rPr>
        <w:t xml:space="preserve"> un tā sākās</w:t>
      </w:r>
      <w:r w:rsidRPr="00647E15">
        <w:rPr>
          <w:rFonts w:ascii="Times New Roman" w:hAnsi="Times New Roman" w:cs="Times New Roman"/>
          <w:sz w:val="24"/>
          <w:szCs w:val="24"/>
        </w:rPr>
        <w:t xml:space="preserve"> 2024.gada 2.august</w:t>
      </w:r>
      <w:r>
        <w:rPr>
          <w:rFonts w:ascii="Times New Roman" w:hAnsi="Times New Roman" w:cs="Times New Roman"/>
          <w:sz w:val="24"/>
          <w:szCs w:val="24"/>
        </w:rPr>
        <w:t xml:space="preserve">ā </w:t>
      </w:r>
      <w:r w:rsidRPr="00647E15">
        <w:rPr>
          <w:rFonts w:ascii="Times New Roman" w:hAnsi="Times New Roman" w:cs="Times New Roman"/>
          <w:sz w:val="24"/>
          <w:szCs w:val="24"/>
        </w:rPr>
        <w:t xml:space="preserve">plkst.13:00 un noslēdzas 2024.gada 2.septembrī plkst. 13:00. </w:t>
      </w:r>
      <w:r>
        <w:rPr>
          <w:rFonts w:ascii="Times New Roman" w:hAnsi="Times New Roman" w:cs="Times New Roman"/>
          <w:sz w:val="24"/>
          <w:szCs w:val="24"/>
        </w:rPr>
        <w:t xml:space="preserve"> </w:t>
      </w:r>
      <w:r w:rsidR="00AA6529">
        <w:rPr>
          <w:rFonts w:ascii="Times New Roman" w:hAnsi="Times New Roman" w:cs="Times New Roman"/>
          <w:sz w:val="24"/>
          <w:szCs w:val="24"/>
        </w:rPr>
        <w:t xml:space="preserve">Pretendenti dalībai izsolē </w:t>
      </w:r>
      <w:r w:rsidR="00AA6529" w:rsidRPr="006C7F2C">
        <w:rPr>
          <w:rFonts w:ascii="Times New Roman" w:hAnsi="Times New Roman" w:cs="Times New Roman"/>
          <w:sz w:val="24"/>
          <w:szCs w:val="24"/>
        </w:rPr>
        <w:t xml:space="preserve">(pirmā izsole) </w:t>
      </w:r>
      <w:r w:rsidR="00AA6529">
        <w:rPr>
          <w:rFonts w:ascii="Times New Roman" w:hAnsi="Times New Roman" w:cs="Times New Roman"/>
          <w:sz w:val="24"/>
          <w:szCs w:val="24"/>
        </w:rPr>
        <w:t>varēja reģistrēties l</w:t>
      </w:r>
      <w:r>
        <w:rPr>
          <w:rFonts w:ascii="Times New Roman" w:hAnsi="Times New Roman" w:cs="Times New Roman"/>
          <w:sz w:val="24"/>
          <w:szCs w:val="24"/>
        </w:rPr>
        <w:t xml:space="preserve">aika periodā </w:t>
      </w:r>
      <w:r w:rsidRPr="00416991">
        <w:rPr>
          <w:rFonts w:ascii="Times New Roman" w:hAnsi="Times New Roman" w:cs="Times New Roman"/>
          <w:color w:val="000000"/>
          <w:sz w:val="24"/>
          <w:szCs w:val="24"/>
        </w:rPr>
        <w:t xml:space="preserve">no </w:t>
      </w:r>
      <w:r w:rsidRPr="001C4155">
        <w:rPr>
          <w:rFonts w:ascii="Times New Roman" w:hAnsi="Times New Roman" w:cs="Times New Roman"/>
          <w:color w:val="000000"/>
          <w:sz w:val="24"/>
          <w:szCs w:val="24"/>
        </w:rPr>
        <w:t>2024.gada 2.</w:t>
      </w:r>
      <w:r>
        <w:rPr>
          <w:rFonts w:ascii="Times New Roman" w:hAnsi="Times New Roman" w:cs="Times New Roman"/>
          <w:color w:val="000000"/>
          <w:sz w:val="24"/>
          <w:szCs w:val="24"/>
        </w:rPr>
        <w:t>augusta</w:t>
      </w:r>
      <w:r w:rsidRPr="001C4155">
        <w:rPr>
          <w:rFonts w:ascii="Times New Roman" w:hAnsi="Times New Roman" w:cs="Times New Roman"/>
          <w:color w:val="000000"/>
          <w:sz w:val="24"/>
          <w:szCs w:val="24"/>
        </w:rPr>
        <w:t xml:space="preserve"> plkst.13:00 līdz 2024.gada 22.</w:t>
      </w:r>
      <w:r>
        <w:rPr>
          <w:rFonts w:ascii="Times New Roman" w:hAnsi="Times New Roman" w:cs="Times New Roman"/>
          <w:color w:val="000000"/>
          <w:sz w:val="24"/>
          <w:szCs w:val="24"/>
        </w:rPr>
        <w:t>augusta</w:t>
      </w:r>
      <w:r w:rsidRPr="001C4155">
        <w:rPr>
          <w:rFonts w:ascii="Times New Roman" w:hAnsi="Times New Roman" w:cs="Times New Roman"/>
          <w:color w:val="000000"/>
          <w:sz w:val="24"/>
          <w:szCs w:val="24"/>
        </w:rPr>
        <w:t>m</w:t>
      </w:r>
      <w:r w:rsidRPr="00416991">
        <w:rPr>
          <w:rFonts w:ascii="Times New Roman" w:hAnsi="Times New Roman" w:cs="Times New Roman"/>
          <w:color w:val="000000"/>
          <w:sz w:val="24"/>
          <w:szCs w:val="24"/>
        </w:rPr>
        <w:t xml:space="preserve"> plkst. 23:59</w:t>
      </w:r>
      <w:r w:rsidR="00AA6529">
        <w:rPr>
          <w:rFonts w:ascii="Times New Roman" w:hAnsi="Times New Roman" w:cs="Times New Roman"/>
          <w:color w:val="000000"/>
          <w:sz w:val="24"/>
          <w:szCs w:val="24"/>
        </w:rPr>
        <w:t>.</w:t>
      </w:r>
      <w:r w:rsidRPr="00416991">
        <w:rPr>
          <w:rFonts w:ascii="Times New Roman" w:hAnsi="Times New Roman" w:cs="Times New Roman"/>
          <w:color w:val="000000"/>
          <w:sz w:val="24"/>
          <w:szCs w:val="24"/>
        </w:rPr>
        <w:t xml:space="preserve"> </w:t>
      </w:r>
      <w:r w:rsidR="00AA6529">
        <w:rPr>
          <w:rFonts w:ascii="Times New Roman" w:hAnsi="Times New Roman" w:cs="Times New Roman"/>
          <w:color w:val="000000"/>
          <w:sz w:val="24"/>
          <w:szCs w:val="24"/>
        </w:rPr>
        <w:t xml:space="preserve">Iepriekš minētajā pieteikšanās termiņā </w:t>
      </w:r>
      <w:r w:rsidRPr="006C7F2C">
        <w:rPr>
          <w:rFonts w:ascii="Times New Roman" w:hAnsi="Times New Roman" w:cs="Times New Roman"/>
          <w:sz w:val="24"/>
          <w:szCs w:val="24"/>
        </w:rPr>
        <w:t>nepieteicās neviens pretendents</w:t>
      </w:r>
      <w:r w:rsidR="00AA6529">
        <w:rPr>
          <w:rFonts w:ascii="Times New Roman" w:hAnsi="Times New Roman" w:cs="Times New Roman"/>
          <w:sz w:val="24"/>
          <w:szCs w:val="24"/>
        </w:rPr>
        <w:t>, par ko 2024.gada 3.septembrī elektronisko izsoļu vietnē tika izsniegts akts Nr. 3724818/0/2024-AKT.</w:t>
      </w:r>
    </w:p>
    <w:p w14:paraId="57BF7200" w14:textId="77777777" w:rsidR="00AA6529" w:rsidRPr="00255026" w:rsidRDefault="00AA6529" w:rsidP="00AA652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4D09835A" w14:textId="283AA2BC" w:rsidR="00AA6529" w:rsidRDefault="00AA6529" w:rsidP="00AA652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893758">
        <w:rPr>
          <w:rFonts w:ascii="Times New Roman" w:hAnsi="Times New Roman" w:cs="Times New Roman"/>
          <w:sz w:val="24"/>
          <w:szCs w:val="24"/>
        </w:rPr>
        <w:t>37300</w:t>
      </w:r>
      <w:r w:rsidRPr="008D2DE8">
        <w:rPr>
          <w:rFonts w:ascii="Times New Roman" w:hAnsi="Times New Roman" w:cs="Times New Roman"/>
          <w:sz w:val="24"/>
          <w:szCs w:val="24"/>
        </w:rPr>
        <w:t xml:space="preserve"> EUR (</w:t>
      </w:r>
      <w:r w:rsidR="00893758">
        <w:rPr>
          <w:rFonts w:ascii="Times New Roman" w:hAnsi="Times New Roman" w:cs="Times New Roman"/>
          <w:sz w:val="24"/>
          <w:szCs w:val="24"/>
        </w:rPr>
        <w:t>trīsdesmit septiņ</w:t>
      </w:r>
      <w:r w:rsidRPr="008D2DE8">
        <w:rPr>
          <w:rFonts w:ascii="Times New Roman" w:hAnsi="Times New Roman" w:cs="Times New Roman"/>
          <w:sz w:val="24"/>
          <w:szCs w:val="24"/>
        </w:rPr>
        <w:t xml:space="preserve">i tūkstoši </w:t>
      </w:r>
      <w:r w:rsidR="00893758">
        <w:rPr>
          <w:rFonts w:ascii="Times New Roman" w:hAnsi="Times New Roman" w:cs="Times New Roman"/>
          <w:sz w:val="24"/>
          <w:szCs w:val="24"/>
        </w:rPr>
        <w:t xml:space="preserve">trīs </w:t>
      </w:r>
      <w:r w:rsidRPr="008D2DE8">
        <w:rPr>
          <w:rFonts w:ascii="Times New Roman" w:hAnsi="Times New Roman" w:cs="Times New Roman"/>
          <w:sz w:val="24"/>
          <w:szCs w:val="24"/>
        </w:rPr>
        <w:t xml:space="preserve">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5B129A20" w14:textId="49A4A98E"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xml:space="preserve">, ka dome ir tiesīga izlemt ikvienu pašvaldības kompetences jautājumu; tikai domes kompetencē ir lemt par pašvaldības </w:t>
      </w:r>
      <w:r w:rsidRPr="00167C35">
        <w:rPr>
          <w:rFonts w:ascii="Times New Roman" w:hAnsi="Times New Roman" w:cs="Times New Roman"/>
          <w:sz w:val="24"/>
          <w:szCs w:val="24"/>
        </w:rPr>
        <w:lastRenderedPageBreak/>
        <w:t>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4BFE628F" w14:textId="77777777" w:rsidR="007D53D9"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publiskas personas nekustamo un kustamo mantu var atsavināt, pārdodot izsolē, tai skaitā izsolē ar pretendentu atlasi</w:t>
      </w:r>
      <w:r w:rsidR="007D53D9">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7D53D9">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7D53D9">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7D53D9">
        <w:rPr>
          <w:rFonts w:ascii="Times New Roman" w:hAnsi="Times New Roman" w:cs="Times New Roman"/>
          <w:sz w:val="24"/>
          <w:szCs w:val="24"/>
        </w:rPr>
        <w:t xml:space="preserve">. </w:t>
      </w:r>
    </w:p>
    <w:p w14:paraId="70FE3392" w14:textId="77777777" w:rsidR="007D53D9" w:rsidRDefault="007D53D9"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sidR="000823EB">
        <w:rPr>
          <w:rFonts w:ascii="Times New Roman" w:hAnsi="Times New Roman" w:cs="Times New Roman"/>
          <w:sz w:val="24"/>
          <w:szCs w:val="24"/>
        </w:rPr>
        <w:t xml:space="preserve"> </w:t>
      </w:r>
      <w:r w:rsidR="000823EB" w:rsidRPr="00E02A87">
        <w:rPr>
          <w:rFonts w:ascii="Times New Roman" w:hAnsi="Times New Roman" w:cs="Times New Roman"/>
          <w:sz w:val="24"/>
          <w:szCs w:val="24"/>
        </w:rPr>
        <w:t>10.pant</w:t>
      </w:r>
      <w:r w:rsidR="000823EB">
        <w:rPr>
          <w:rFonts w:ascii="Times New Roman" w:hAnsi="Times New Roman" w:cs="Times New Roman"/>
          <w:sz w:val="24"/>
          <w:szCs w:val="24"/>
        </w:rPr>
        <w:t>a pirmajā daļā</w:t>
      </w:r>
      <w:r w:rsidR="000823EB" w:rsidRPr="00E02A87">
        <w:rPr>
          <w:rFonts w:ascii="Times New Roman" w:hAnsi="Times New Roman" w:cs="Times New Roman"/>
          <w:sz w:val="24"/>
          <w:szCs w:val="24"/>
        </w:rPr>
        <w:t xml:space="preserve"> </w:t>
      </w:r>
      <w:proofErr w:type="spellStart"/>
      <w:r w:rsidR="000823EB" w:rsidRPr="00E02A87">
        <w:rPr>
          <w:rFonts w:ascii="Times New Roman" w:hAnsi="Times New Roman" w:cs="Times New Roman"/>
          <w:sz w:val="24"/>
          <w:szCs w:val="24"/>
        </w:rPr>
        <w:t>citstarp</w:t>
      </w:r>
      <w:proofErr w:type="spellEnd"/>
      <w:r w:rsidR="000823EB" w:rsidRPr="00E02A87">
        <w:rPr>
          <w:rFonts w:ascii="Times New Roman" w:hAnsi="Times New Roman" w:cs="Times New Roman"/>
          <w:sz w:val="24"/>
          <w:szCs w:val="24"/>
        </w:rPr>
        <w:t xml:space="preserve"> no</w:t>
      </w:r>
      <w:r w:rsidR="000823EB">
        <w:rPr>
          <w:rFonts w:ascii="Times New Roman" w:hAnsi="Times New Roman" w:cs="Times New Roman"/>
          <w:sz w:val="24"/>
          <w:szCs w:val="24"/>
        </w:rPr>
        <w:t>teikts</w:t>
      </w:r>
      <w:r w:rsidR="000823EB"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000823EB"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0823EB">
        <w:rPr>
          <w:rFonts w:ascii="Times New Roman" w:hAnsi="Times New Roman" w:cs="Times New Roman"/>
          <w:sz w:val="24"/>
          <w:szCs w:val="24"/>
        </w:rPr>
        <w:t xml:space="preserve">panta otrajā daļā noteikts, ka </w:t>
      </w:r>
      <w:r w:rsidR="000823EB" w:rsidRPr="00E02A87">
        <w:rPr>
          <w:rFonts w:ascii="Times New Roman" w:hAnsi="Times New Roman" w:cs="Times New Roman"/>
          <w:sz w:val="24"/>
          <w:szCs w:val="24"/>
        </w:rPr>
        <w:t>izsoli rīko tās institūcijas izveidota izsoles komisija (turpmāk – izsoles rīkotājs), kura organizē mantas atsavināšanu (9.pants)</w:t>
      </w:r>
      <w:r w:rsidR="000823EB">
        <w:rPr>
          <w:rFonts w:ascii="Times New Roman" w:hAnsi="Times New Roman" w:cs="Times New Roman"/>
          <w:sz w:val="24"/>
          <w:szCs w:val="24"/>
        </w:rPr>
        <w:t xml:space="preserve">. </w:t>
      </w:r>
    </w:p>
    <w:p w14:paraId="552178AE" w14:textId="2A1D2A0E"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7D53D9">
        <w:rPr>
          <w:rFonts w:ascii="Times New Roman" w:hAnsi="Times New Roman" w:cs="Times New Roman"/>
          <w:sz w:val="24"/>
          <w:szCs w:val="24"/>
        </w:rPr>
        <w:t>. I</w:t>
      </w:r>
      <w:r w:rsidRPr="00E02A87">
        <w:rPr>
          <w:rFonts w:ascii="Times New Roman" w:hAnsi="Times New Roman" w:cs="Times New Roman"/>
          <w:sz w:val="24"/>
          <w:szCs w:val="24"/>
        </w:rPr>
        <w:t>zsole var būt ar augšupejošu vai lejupejošu soli</w:t>
      </w:r>
      <w:r>
        <w:rPr>
          <w:rFonts w:ascii="Times New Roman" w:hAnsi="Times New Roman" w:cs="Times New Roman"/>
          <w:sz w:val="24"/>
          <w:szCs w:val="24"/>
        </w:rPr>
        <w:t>.</w:t>
      </w:r>
    </w:p>
    <w:p w14:paraId="43F9943A" w14:textId="0BD26FC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893758">
        <w:rPr>
          <w:rFonts w:ascii="Times New Roman" w:hAnsi="Times New Roman" w:cs="Times New Roman"/>
          <w:sz w:val="24"/>
          <w:szCs w:val="24"/>
        </w:rPr>
        <w:t>12.septembra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893758" w:rsidRPr="00893758">
        <w:rPr>
          <w:rFonts w:ascii="Times New Roman" w:hAnsi="Times New Roman" w:cs="Times New Roman"/>
          <w:sz w:val="24"/>
          <w:szCs w:val="24"/>
        </w:rPr>
        <w:t xml:space="preserve">nekustamā īpašuma “Lauka </w:t>
      </w:r>
      <w:proofErr w:type="spellStart"/>
      <w:r w:rsidR="00893758" w:rsidRPr="00893758">
        <w:rPr>
          <w:rFonts w:ascii="Times New Roman" w:hAnsi="Times New Roman" w:cs="Times New Roman"/>
          <w:sz w:val="24"/>
          <w:szCs w:val="24"/>
        </w:rPr>
        <w:t>Svilāres</w:t>
      </w:r>
      <w:proofErr w:type="spellEnd"/>
      <w:r w:rsidR="00893758" w:rsidRPr="00893758">
        <w:rPr>
          <w:rFonts w:ascii="Times New Roman" w:hAnsi="Times New Roman" w:cs="Times New Roman"/>
          <w:sz w:val="24"/>
          <w:szCs w:val="24"/>
        </w:rPr>
        <w:t>”, Druvienas pagastā, Gulbenes novadā, izsoles rezultāta apstiprināšanu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893758">
        <w:rPr>
          <w:rFonts w:ascii="Times New Roman" w:hAnsi="Times New Roman" w:cs="Times New Roman"/>
          <w:sz w:val="24"/>
          <w:szCs w:val="24"/>
        </w:rPr>
        <w:t>25</w:t>
      </w:r>
      <w:r w:rsidR="003C1233">
        <w:rPr>
          <w:rFonts w:ascii="Times New Roman" w:hAnsi="Times New Roman" w:cs="Times New Roman"/>
          <w:sz w:val="24"/>
          <w:szCs w:val="24"/>
        </w:rPr>
        <w:t xml:space="preserve"> </w:t>
      </w:r>
      <w:r w:rsidR="00893758">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93758">
        <w:rPr>
          <w:rFonts w:ascii="Times New Roman" w:hAnsi="Times New Roman" w:cs="Times New Roman"/>
          <w:sz w:val="24"/>
          <w:szCs w:val="24"/>
        </w:rPr>
        <w:t xml:space="preserve"> 32.panta pirmās daļas 1.punktu,</w:t>
      </w:r>
      <w:r w:rsidR="0088276A" w:rsidRPr="0088276A">
        <w:t xml:space="preserve"> </w:t>
      </w:r>
      <w:r w:rsidR="0088276A" w:rsidRPr="0088276A">
        <w:rPr>
          <w:rFonts w:ascii="Times New Roman" w:hAnsi="Times New Roman" w:cs="Times New Roman"/>
          <w:sz w:val="24"/>
          <w:szCs w:val="24"/>
        </w:rPr>
        <w:t>Publiskas personas finanšu līdzekļu un mantas izšķērdēšanas novēršanas likuma 3.panta 2.punktu</w:t>
      </w:r>
      <w:r w:rsidR="0088276A">
        <w:rPr>
          <w:rFonts w:ascii="Times New Roman" w:hAnsi="Times New Roman" w:cs="Times New Roman"/>
          <w:sz w:val="24"/>
          <w:szCs w:val="24"/>
        </w:rPr>
        <w:t>,</w:t>
      </w:r>
      <w:r w:rsidR="00B140DB" w:rsidRPr="00B140DB">
        <w:t xml:space="preserve"> </w:t>
      </w:r>
      <w:r w:rsidR="00893758" w:rsidRPr="00B140DB">
        <w:rPr>
          <w:rFonts w:ascii="Times New Roman" w:hAnsi="Times New Roman" w:cs="Times New Roman"/>
          <w:sz w:val="24"/>
          <w:szCs w:val="24"/>
        </w:rPr>
        <w:t xml:space="preserve">un </w:t>
      </w:r>
      <w:r w:rsidR="007D53D9">
        <w:rPr>
          <w:rFonts w:ascii="Times New Roman" w:hAnsi="Times New Roman" w:cs="Times New Roman"/>
          <w:sz w:val="24"/>
          <w:szCs w:val="24"/>
        </w:rPr>
        <w:t xml:space="preserve">ņemot vērā </w:t>
      </w:r>
      <w:r w:rsidR="00893758">
        <w:rPr>
          <w:rFonts w:ascii="Times New Roman" w:hAnsi="Times New Roman" w:cs="Times New Roman"/>
          <w:sz w:val="24"/>
          <w:szCs w:val="24"/>
        </w:rPr>
        <w:t>Attīstības un t</w:t>
      </w:r>
      <w:r w:rsidR="00893758" w:rsidRPr="00B140DB">
        <w:rPr>
          <w:rFonts w:ascii="Times New Roman" w:hAnsi="Times New Roman" w:cs="Times New Roman"/>
          <w:sz w:val="24"/>
          <w:szCs w:val="24"/>
        </w:rPr>
        <w:t>autsaimniecības komitejas ieteikumu</w:t>
      </w:r>
      <w:r w:rsidR="007D53D9">
        <w:rPr>
          <w:rFonts w:ascii="Times New Roman" w:hAnsi="Times New Roman" w:cs="Times New Roman"/>
          <w:sz w:val="24"/>
          <w:szCs w:val="24"/>
        </w:rPr>
        <w:t xml:space="preserve"> </w:t>
      </w:r>
      <w:r w:rsidR="00893758">
        <w:rPr>
          <w:rFonts w:ascii="Times New Roman" w:hAnsi="Times New Roman" w:cs="Times New Roman"/>
          <w:sz w:val="24"/>
          <w:szCs w:val="24"/>
        </w:rPr>
        <w:t>un Finanšu komitejas ieteikumu,</w:t>
      </w:r>
      <w:r w:rsidR="00893758" w:rsidRPr="00FC7F25">
        <w:rPr>
          <w:rFonts w:ascii="Times New Roman" w:hAnsi="Times New Roman" w:cs="Times New Roman"/>
          <w:sz w:val="24"/>
          <w:szCs w:val="24"/>
        </w:rPr>
        <w:t xml:space="preserve"> atklāti balsojot: </w:t>
      </w:r>
      <w:r w:rsidRPr="00FC7F25">
        <w:rPr>
          <w:rFonts w:ascii="Times New Roman" w:hAnsi="Times New Roman" w:cs="Times New Roman"/>
          <w:sz w:val="24"/>
          <w:szCs w:val="24"/>
        </w:rPr>
        <w:t xml:space="preserve">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29CEA5E4" w14:textId="482080AA" w:rsidR="00893758" w:rsidRPr="00A16E10" w:rsidRDefault="00893758" w:rsidP="00893758">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Pr="00893758">
        <w:rPr>
          <w:rFonts w:ascii="Times New Roman" w:hAnsi="Times New Roman" w:cs="Times New Roman"/>
          <w:sz w:val="24"/>
          <w:szCs w:val="24"/>
        </w:rPr>
        <w:t xml:space="preserve">elektronisko izsoļu vietnē </w:t>
      </w:r>
      <w:r w:rsidR="007D53D9">
        <w:rPr>
          <w:rFonts w:ascii="Times New Roman" w:hAnsi="Times New Roman" w:cs="Times New Roman"/>
          <w:sz w:val="24"/>
          <w:szCs w:val="24"/>
        </w:rPr>
        <w:t>–</w:t>
      </w:r>
      <w:r w:rsidRPr="00893758">
        <w:rPr>
          <w:rFonts w:ascii="Times New Roman" w:hAnsi="Times New Roman" w:cs="Times New Roman"/>
          <w:sz w:val="24"/>
          <w:szCs w:val="24"/>
        </w:rPr>
        <w:t xml:space="preserve"> https://izsoles.ta.gov.lv </w:t>
      </w:r>
      <w:r>
        <w:rPr>
          <w:rFonts w:ascii="Times New Roman" w:hAnsi="Times New Roman" w:cs="Times New Roman"/>
          <w:sz w:val="24"/>
          <w:szCs w:val="24"/>
        </w:rPr>
        <w:t>no</w:t>
      </w:r>
      <w:r w:rsidRPr="00893758">
        <w:rPr>
          <w:rFonts w:ascii="Times New Roman" w:hAnsi="Times New Roman" w:cs="Times New Roman"/>
          <w:sz w:val="24"/>
          <w:szCs w:val="24"/>
        </w:rPr>
        <w:t xml:space="preserve"> 2024.gada 2.august</w:t>
      </w:r>
      <w:r>
        <w:rPr>
          <w:rFonts w:ascii="Times New Roman" w:hAnsi="Times New Roman" w:cs="Times New Roman"/>
          <w:sz w:val="24"/>
          <w:szCs w:val="24"/>
        </w:rPr>
        <w:t>a</w:t>
      </w:r>
      <w:r w:rsidRPr="00893758">
        <w:rPr>
          <w:rFonts w:ascii="Times New Roman" w:hAnsi="Times New Roman" w:cs="Times New Roman"/>
          <w:sz w:val="24"/>
          <w:szCs w:val="24"/>
        </w:rPr>
        <w:t xml:space="preserve"> plkst.13:00 </w:t>
      </w:r>
      <w:r>
        <w:rPr>
          <w:rFonts w:ascii="Times New Roman" w:hAnsi="Times New Roman" w:cs="Times New Roman"/>
          <w:sz w:val="24"/>
          <w:szCs w:val="24"/>
        </w:rPr>
        <w:t>līdz</w:t>
      </w:r>
      <w:r w:rsidRPr="00893758">
        <w:rPr>
          <w:rFonts w:ascii="Times New Roman" w:hAnsi="Times New Roman" w:cs="Times New Roman"/>
          <w:sz w:val="24"/>
          <w:szCs w:val="24"/>
        </w:rPr>
        <w:t xml:space="preserve"> 2024.gada 2.septembr</w:t>
      </w:r>
      <w:r>
        <w:rPr>
          <w:rFonts w:ascii="Times New Roman" w:hAnsi="Times New Roman" w:cs="Times New Roman"/>
          <w:sz w:val="24"/>
          <w:szCs w:val="24"/>
        </w:rPr>
        <w:t>im</w:t>
      </w:r>
      <w:r w:rsidRPr="00893758">
        <w:rPr>
          <w:rFonts w:ascii="Times New Roman" w:hAnsi="Times New Roman" w:cs="Times New Roman"/>
          <w:sz w:val="24"/>
          <w:szCs w:val="24"/>
        </w:rPr>
        <w:t xml:space="preserve"> plkst. 13:00</w:t>
      </w:r>
      <w:r w:rsidRPr="00255026">
        <w:rPr>
          <w:rFonts w:ascii="Times New Roman" w:hAnsi="Times New Roman" w:cs="Times New Roman"/>
          <w:sz w:val="24"/>
          <w:szCs w:val="24"/>
        </w:rPr>
        <w:t xml:space="preserve"> rīkoto Gulbenes novada pašvaldības nekustamā īpašuma </w:t>
      </w:r>
      <w:r w:rsidRPr="000823EB">
        <w:rPr>
          <w:rFonts w:ascii="Times New Roman" w:hAnsi="Times New Roman" w:cs="Times New Roman"/>
          <w:sz w:val="24"/>
          <w:szCs w:val="24"/>
        </w:rPr>
        <w:t xml:space="preserve">Druvienas pagastā ar nosaukumu “Lauka </w:t>
      </w:r>
      <w:proofErr w:type="spellStart"/>
      <w:r w:rsidRPr="000823EB">
        <w:rPr>
          <w:rFonts w:ascii="Times New Roman" w:hAnsi="Times New Roman" w:cs="Times New Roman"/>
          <w:sz w:val="24"/>
          <w:szCs w:val="24"/>
        </w:rPr>
        <w:t>Svilāres</w:t>
      </w:r>
      <w:proofErr w:type="spellEnd"/>
      <w:r w:rsidRPr="000823EB">
        <w:rPr>
          <w:rFonts w:ascii="Times New Roman" w:hAnsi="Times New Roman" w:cs="Times New Roman"/>
          <w:sz w:val="24"/>
          <w:szCs w:val="24"/>
        </w:rPr>
        <w:t>”, kadastra numurs 5052 001 0100, kas sastāv no zemes vienības ar kadastra apzīmējumu 50520010097 ar platību 15,3 ha un uz tās esošās mežaudzes 5,67 ha platībā, un pārplūstoša klajuma 0,83 ha</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w:t>
      </w:r>
      <w:r>
        <w:rPr>
          <w:rFonts w:ascii="Times New Roman" w:hAnsi="Times New Roman" w:cs="Times New Roman"/>
          <w:sz w:val="24"/>
          <w:szCs w:val="24"/>
        </w:rPr>
        <w:t xml:space="preserve"> elektronisko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58B858B9" w14:textId="0B82CEBE"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w:t>
      </w:r>
      <w:r w:rsidR="00893758" w:rsidRPr="00425291">
        <w:rPr>
          <w:rFonts w:ascii="Times New Roman" w:hAnsi="Times New Roman" w:cs="Times New Roman"/>
          <w:sz w:val="24"/>
          <w:szCs w:val="24"/>
        </w:rPr>
        <w:t xml:space="preserve">šā lēmuma 1.punktā minētā nekustamā īpašuma </w:t>
      </w:r>
      <w:r w:rsidR="00893758">
        <w:rPr>
          <w:rFonts w:ascii="Times New Roman" w:hAnsi="Times New Roman" w:cs="Times New Roman"/>
          <w:sz w:val="24"/>
          <w:szCs w:val="24"/>
        </w:rPr>
        <w:t>otro</w:t>
      </w:r>
      <w:r w:rsidR="00893758" w:rsidRPr="00425291">
        <w:rPr>
          <w:rFonts w:ascii="Times New Roman" w:hAnsi="Times New Roman" w:cs="Times New Roman"/>
          <w:sz w:val="24"/>
          <w:szCs w:val="24"/>
        </w:rPr>
        <w:t xml:space="preserve"> </w:t>
      </w:r>
      <w:r w:rsidR="00893758">
        <w:rPr>
          <w:rFonts w:ascii="Times New Roman" w:hAnsi="Times New Roman" w:cs="Times New Roman"/>
          <w:sz w:val="24"/>
          <w:szCs w:val="24"/>
        </w:rPr>
        <w:t xml:space="preserve">elektronisko </w:t>
      </w:r>
      <w:r w:rsidR="00893758" w:rsidRPr="00425291">
        <w:rPr>
          <w:rFonts w:ascii="Times New Roman" w:hAnsi="Times New Roman" w:cs="Times New Roman"/>
          <w:sz w:val="24"/>
          <w:szCs w:val="24"/>
        </w:rPr>
        <w:t>izsoli</w:t>
      </w:r>
      <w:r w:rsidRPr="00A16E10">
        <w:rPr>
          <w:rFonts w:ascii="Times New Roman" w:hAnsi="Times New Roman" w:cs="Times New Roman"/>
          <w:sz w:val="24"/>
          <w:szCs w:val="24"/>
        </w:rPr>
        <w:t>.</w:t>
      </w:r>
    </w:p>
    <w:p w14:paraId="3330A160" w14:textId="334E8355"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w:t>
      </w:r>
      <w:r w:rsidR="00893758">
        <w:rPr>
          <w:rFonts w:ascii="Times New Roman" w:hAnsi="Times New Roman" w:cs="Times New Roman"/>
          <w:sz w:val="24"/>
          <w:szCs w:val="24"/>
        </w:rPr>
        <w:t xml:space="preserve">otrās elektroniskās </w:t>
      </w:r>
      <w:r w:rsidR="00144B7E" w:rsidRPr="00832036">
        <w:rPr>
          <w:rFonts w:ascii="Times New Roman" w:hAnsi="Times New Roman" w:cs="Times New Roman"/>
          <w:sz w:val="24"/>
          <w:szCs w:val="24"/>
        </w:rPr>
        <w:t xml:space="preserve">izsoles sākumcenu </w:t>
      </w:r>
      <w:r w:rsidR="00893758">
        <w:rPr>
          <w:rFonts w:ascii="Times New Roman" w:hAnsi="Times New Roman" w:cs="Times New Roman"/>
          <w:sz w:val="24"/>
          <w:szCs w:val="24"/>
        </w:rPr>
        <w:t>37300</w:t>
      </w:r>
      <w:r w:rsidR="00893758" w:rsidRPr="008D2DE8">
        <w:rPr>
          <w:rFonts w:ascii="Times New Roman" w:hAnsi="Times New Roman" w:cs="Times New Roman"/>
          <w:sz w:val="24"/>
          <w:szCs w:val="24"/>
        </w:rPr>
        <w:t xml:space="preserve"> EUR (</w:t>
      </w:r>
      <w:r w:rsidR="00893758">
        <w:rPr>
          <w:rFonts w:ascii="Times New Roman" w:hAnsi="Times New Roman" w:cs="Times New Roman"/>
          <w:sz w:val="24"/>
          <w:szCs w:val="24"/>
        </w:rPr>
        <w:t>trīsdesmit septiņ</w:t>
      </w:r>
      <w:r w:rsidR="00893758" w:rsidRPr="008D2DE8">
        <w:rPr>
          <w:rFonts w:ascii="Times New Roman" w:hAnsi="Times New Roman" w:cs="Times New Roman"/>
          <w:sz w:val="24"/>
          <w:szCs w:val="24"/>
        </w:rPr>
        <w:t xml:space="preserve">i tūkstoši </w:t>
      </w:r>
      <w:r w:rsidR="00893758">
        <w:rPr>
          <w:rFonts w:ascii="Times New Roman" w:hAnsi="Times New Roman" w:cs="Times New Roman"/>
          <w:sz w:val="24"/>
          <w:szCs w:val="24"/>
        </w:rPr>
        <w:t xml:space="preserve">trīs </w:t>
      </w:r>
      <w:r w:rsidR="00893758" w:rsidRPr="008D2DE8">
        <w:rPr>
          <w:rFonts w:ascii="Times New Roman" w:hAnsi="Times New Roman" w:cs="Times New Roman"/>
          <w:sz w:val="24"/>
          <w:szCs w:val="24"/>
        </w:rPr>
        <w:t xml:space="preserve">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lastRenderedPageBreak/>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F1A60D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893758">
        <w:rPr>
          <w:rFonts w:ascii="Times New Roman" w:hAnsi="Times New Roman" w:cs="Times New Roman"/>
          <w:sz w:val="24"/>
          <w:szCs w:val="24"/>
        </w:rPr>
        <w:t>26.09</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E22DC9E" w:rsidR="009B3602" w:rsidRDefault="000823EB" w:rsidP="007933CC">
      <w:pPr>
        <w:pStyle w:val="Pamatteksts"/>
        <w:spacing w:after="0"/>
        <w:jc w:val="center"/>
        <w:rPr>
          <w:rFonts w:ascii="Times New Roman" w:hAnsi="Times New Roman" w:cs="Times New Roman"/>
          <w:b/>
          <w:caps/>
          <w:sz w:val="24"/>
          <w:szCs w:val="24"/>
        </w:rPr>
      </w:pPr>
      <w:r w:rsidRPr="000823EB">
        <w:rPr>
          <w:rFonts w:ascii="Times New Roman" w:hAnsi="Times New Roman" w:cs="Times New Roman"/>
          <w:b/>
          <w:caps/>
          <w:sz w:val="24"/>
          <w:szCs w:val="24"/>
        </w:rPr>
        <w:t>Druvienas pagastā ar nosaukumu “Lauka Svilāres</w:t>
      </w:r>
      <w:r w:rsidR="002118EE" w:rsidRPr="002118EE">
        <w:rPr>
          <w:rFonts w:ascii="Times New Roman" w:hAnsi="Times New Roman" w:cs="Times New Roman"/>
          <w:b/>
          <w:caps/>
          <w:sz w:val="24"/>
          <w:szCs w:val="24"/>
        </w:rPr>
        <w:t>”</w:t>
      </w:r>
    </w:p>
    <w:p w14:paraId="285C33B6" w14:textId="4C6FF785" w:rsidR="007933CC" w:rsidRPr="008703D2" w:rsidRDefault="00893758"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0823EB">
        <w:rPr>
          <w:rFonts w:ascii="Times New Roman" w:hAnsi="Times New Roman" w:cs="Times New Roman"/>
          <w:b/>
          <w:sz w:val="24"/>
          <w:szCs w:val="24"/>
        </w:rPr>
        <w:t xml:space="preserve">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4D08EA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893758">
        <w:rPr>
          <w:rFonts w:ascii="Times New Roman" w:hAnsi="Times New Roman" w:cs="Times New Roman"/>
          <w:color w:val="000000"/>
          <w:sz w:val="24"/>
          <w:szCs w:val="24"/>
        </w:rPr>
        <w:t>otr</w:t>
      </w:r>
      <w:r w:rsidR="000823EB">
        <w:rPr>
          <w:rFonts w:ascii="Times New Roman" w:hAnsi="Times New Roman" w:cs="Times New Roman"/>
          <w:color w:val="000000"/>
          <w:sz w:val="24"/>
          <w:szCs w:val="24"/>
        </w:rPr>
        <w:t xml:space="preserve">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23EB" w:rsidRPr="000823EB">
        <w:rPr>
          <w:rFonts w:ascii="Times New Roman" w:hAnsi="Times New Roman" w:cs="Times New Roman"/>
          <w:sz w:val="24"/>
          <w:szCs w:val="24"/>
        </w:rPr>
        <w:t xml:space="preserve">Druvienas pagastā ar nosaukumu “Lauka </w:t>
      </w:r>
      <w:proofErr w:type="spellStart"/>
      <w:r w:rsidR="000823EB" w:rsidRPr="000823EB">
        <w:rPr>
          <w:rFonts w:ascii="Times New Roman" w:hAnsi="Times New Roman" w:cs="Times New Roman"/>
          <w:sz w:val="24"/>
          <w:szCs w:val="24"/>
        </w:rPr>
        <w:t>Svilāres</w:t>
      </w:r>
      <w:proofErr w:type="spellEnd"/>
      <w:r w:rsidR="000823EB" w:rsidRPr="000823EB">
        <w:rPr>
          <w:rFonts w:ascii="Times New Roman" w:hAnsi="Times New Roman" w:cs="Times New Roman"/>
          <w:sz w:val="24"/>
          <w:szCs w:val="24"/>
        </w:rPr>
        <w:t xml:space="preserve">”, kadastra numurs 5052 001 0100 </w:t>
      </w:r>
      <w:r w:rsidRPr="008703D2">
        <w:rPr>
          <w:rFonts w:ascii="Times New Roman" w:hAnsi="Times New Roman" w:cs="Times New Roman"/>
          <w:color w:val="000000"/>
          <w:sz w:val="24"/>
          <w:szCs w:val="24"/>
        </w:rPr>
        <w:t xml:space="preserve">(turpmāk – Objekts) pircēja noteikšanai. </w:t>
      </w:r>
    </w:p>
    <w:p w14:paraId="7BF8A014" w14:textId="4922C46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7D53D9">
        <w:rPr>
          <w:rFonts w:ascii="Times New Roman" w:hAnsi="Times New Roman" w:cs="Times New Roman"/>
          <w:color w:val="000000"/>
          <w:sz w:val="24"/>
          <w:szCs w:val="24"/>
        </w:rPr>
        <w:t> </w:t>
      </w:r>
      <w:bookmarkStart w:id="0" w:name="_GoBack"/>
      <w:bookmarkEnd w:id="0"/>
      <w:r w:rsidR="00E86AAA" w:rsidRPr="00062722">
        <w:rPr>
          <w:rFonts w:ascii="Times New Roman" w:hAnsi="Times New Roman" w:cs="Times New Roman"/>
          <w:color w:val="000000"/>
          <w:sz w:val="24"/>
          <w:szCs w:val="24"/>
        </w:rPr>
        <w:t xml:space="preserve">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CE1483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23EB" w:rsidRPr="000823EB">
        <w:rPr>
          <w:rFonts w:ascii="Times New Roman" w:hAnsi="Times New Roman" w:cs="Times New Roman"/>
          <w:sz w:val="24"/>
          <w:szCs w:val="24"/>
        </w:rPr>
        <w:t xml:space="preserve">Druvienas pagastā ar nosaukumu “Lauka </w:t>
      </w:r>
      <w:proofErr w:type="spellStart"/>
      <w:r w:rsidR="000823EB" w:rsidRPr="000823EB">
        <w:rPr>
          <w:rFonts w:ascii="Times New Roman" w:hAnsi="Times New Roman" w:cs="Times New Roman"/>
          <w:sz w:val="24"/>
          <w:szCs w:val="24"/>
        </w:rPr>
        <w:t>Svilāres</w:t>
      </w:r>
      <w:proofErr w:type="spellEnd"/>
      <w:r w:rsidR="000823EB" w:rsidRPr="000823EB">
        <w:rPr>
          <w:rFonts w:ascii="Times New Roman" w:hAnsi="Times New Roman" w:cs="Times New Roman"/>
          <w:sz w:val="24"/>
          <w:szCs w:val="24"/>
        </w:rPr>
        <w:t>”, kadastra numurs 5052 001 0100, kas sastāv no zemes vienības ar kadastra apzīmējumu 50520010097 ar platību 15,3 ha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919A34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823EB">
        <w:rPr>
          <w:rFonts w:ascii="Times New Roman" w:hAnsi="Times New Roman" w:cs="Times New Roman"/>
          <w:sz w:val="24"/>
          <w:szCs w:val="24"/>
        </w:rPr>
        <w:t>Druvienas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B411F0" w:rsidRPr="00B411F0">
        <w:rPr>
          <w:rFonts w:ascii="Times New Roman" w:hAnsi="Times New Roman" w:cs="Times New Roman"/>
          <w:sz w:val="24"/>
          <w:szCs w:val="24"/>
        </w:rPr>
        <w:t>100000659479</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8"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9"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10">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1"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570FA94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2"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bookmarkStart w:id="1" w:name="_Hlk164614160"/>
      <w:r w:rsidR="00F86AFA" w:rsidRPr="00F86AFA">
        <w:rPr>
          <w:rFonts w:ascii="Times New Roman" w:hAnsi="Times New Roman" w:cs="Times New Roman"/>
          <w:sz w:val="24"/>
          <w:szCs w:val="24"/>
        </w:rPr>
        <w:t xml:space="preserve">pa tālruni </w:t>
      </w:r>
      <w:r w:rsidR="00B411F0" w:rsidRPr="00B411F0">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B411F0" w:rsidRPr="00B411F0">
        <w:rPr>
          <w:rFonts w:ascii="Times New Roman" w:hAnsi="Times New Roman" w:cs="Times New Roman"/>
          <w:sz w:val="24"/>
          <w:szCs w:val="24"/>
        </w:rPr>
        <w:t>L.Bašķere</w:t>
      </w:r>
      <w:proofErr w:type="spellEnd"/>
      <w:r w:rsidR="005558E3">
        <w:rPr>
          <w:rFonts w:ascii="Times New Roman" w:hAnsi="Times New Roman" w:cs="Times New Roman"/>
          <w:sz w:val="24"/>
          <w:szCs w:val="24"/>
        </w:rPr>
        <w:t>)</w:t>
      </w:r>
      <w:bookmarkEnd w:id="1"/>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571DA9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93758" w:rsidRPr="00893758">
        <w:rPr>
          <w:rFonts w:ascii="Times New Roman" w:hAnsi="Times New Roman" w:cs="Times New Roman"/>
          <w:sz w:val="24"/>
          <w:szCs w:val="24"/>
        </w:rPr>
        <w:t xml:space="preserve">37300 EUR (trīsdesmit septiņi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9DC4EE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893758">
        <w:rPr>
          <w:rFonts w:ascii="Times New Roman" w:hAnsi="Times New Roman" w:cs="Times New Roman"/>
          <w:color w:val="000000"/>
          <w:sz w:val="24"/>
          <w:szCs w:val="24"/>
        </w:rPr>
        <w:t>3730</w:t>
      </w:r>
      <w:r w:rsidR="006C2A05">
        <w:rPr>
          <w:rFonts w:ascii="Times New Roman" w:hAnsi="Times New Roman" w:cs="Times New Roman"/>
          <w:color w:val="000000"/>
          <w:sz w:val="24"/>
          <w:szCs w:val="24"/>
        </w:rPr>
        <w:t xml:space="preserve"> EUR (</w:t>
      </w:r>
      <w:r w:rsidR="00893758">
        <w:rPr>
          <w:rFonts w:ascii="Times New Roman" w:hAnsi="Times New Roman" w:cs="Times New Roman"/>
          <w:color w:val="000000"/>
          <w:sz w:val="24"/>
          <w:szCs w:val="24"/>
        </w:rPr>
        <w:t>trīs</w:t>
      </w:r>
      <w:r w:rsidR="002118EE">
        <w:rPr>
          <w:rFonts w:ascii="Times New Roman" w:hAnsi="Times New Roman" w:cs="Times New Roman"/>
          <w:color w:val="000000"/>
          <w:sz w:val="24"/>
          <w:szCs w:val="24"/>
        </w:rPr>
        <w:t xml:space="preserve"> tūkstoši </w:t>
      </w:r>
      <w:r w:rsidR="00893758">
        <w:rPr>
          <w:rFonts w:ascii="Times New Roman" w:hAnsi="Times New Roman" w:cs="Times New Roman"/>
          <w:color w:val="000000"/>
          <w:sz w:val="24"/>
          <w:szCs w:val="24"/>
        </w:rPr>
        <w:t>septiņi</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00893758">
        <w:rPr>
          <w:rFonts w:ascii="Times New Roman" w:hAnsi="Times New Roman" w:cs="Times New Roman"/>
          <w:color w:val="000000"/>
          <w:sz w:val="24"/>
          <w:szCs w:val="24"/>
        </w:rPr>
        <w:t>trīs</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 xml:space="preserve">Druvienas pagastā ar nosaukumu “Lauka </w:t>
      </w:r>
      <w:proofErr w:type="spellStart"/>
      <w:r w:rsidR="00B411F0" w:rsidRPr="00B411F0">
        <w:rPr>
          <w:rFonts w:ascii="Times New Roman" w:hAnsi="Times New Roman" w:cs="Times New Roman"/>
          <w:sz w:val="24"/>
          <w:szCs w:val="24"/>
          <w:lang w:eastAsia="en-US"/>
        </w:rPr>
        <w:t>Svilāres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89D781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93758">
        <w:rPr>
          <w:rFonts w:ascii="Times New Roman" w:hAnsi="Times New Roman" w:cs="Times New Roman"/>
          <w:sz w:val="24"/>
          <w:szCs w:val="24"/>
        </w:rPr>
        <w:t>1865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93758">
        <w:rPr>
          <w:rFonts w:ascii="Times New Roman" w:hAnsi="Times New Roman" w:cs="Times New Roman"/>
          <w:sz w:val="24"/>
          <w:szCs w:val="24"/>
        </w:rPr>
        <w:t>viens</w:t>
      </w:r>
      <w:r w:rsidR="00B411F0">
        <w:rPr>
          <w:rFonts w:ascii="Times New Roman" w:hAnsi="Times New Roman" w:cs="Times New Roman"/>
          <w:sz w:val="24"/>
          <w:szCs w:val="24"/>
        </w:rPr>
        <w:t xml:space="preserve"> </w:t>
      </w:r>
      <w:r w:rsidR="006765C2">
        <w:rPr>
          <w:rFonts w:ascii="Times New Roman" w:hAnsi="Times New Roman" w:cs="Times New Roman"/>
          <w:sz w:val="24"/>
          <w:szCs w:val="24"/>
        </w:rPr>
        <w:t>tūksto</w:t>
      </w:r>
      <w:r w:rsidR="00893758">
        <w:rPr>
          <w:rFonts w:ascii="Times New Roman" w:hAnsi="Times New Roman" w:cs="Times New Roman"/>
          <w:sz w:val="24"/>
          <w:szCs w:val="24"/>
        </w:rPr>
        <w:t>tis</w:t>
      </w:r>
      <w:r w:rsidR="00D017C8">
        <w:rPr>
          <w:rFonts w:ascii="Times New Roman" w:hAnsi="Times New Roman" w:cs="Times New Roman"/>
          <w:sz w:val="24"/>
          <w:szCs w:val="24"/>
        </w:rPr>
        <w:t xml:space="preserve"> </w:t>
      </w:r>
      <w:r w:rsidR="00893758">
        <w:rPr>
          <w:rFonts w:ascii="Times New Roman" w:hAnsi="Times New Roman" w:cs="Times New Roman"/>
          <w:sz w:val="24"/>
          <w:szCs w:val="24"/>
        </w:rPr>
        <w:t xml:space="preserve">astoņi </w:t>
      </w:r>
      <w:r w:rsidR="00B411F0">
        <w:rPr>
          <w:rFonts w:ascii="Times New Roman" w:hAnsi="Times New Roman" w:cs="Times New Roman"/>
          <w:sz w:val="24"/>
          <w:szCs w:val="24"/>
        </w:rPr>
        <w:t>simt</w:t>
      </w:r>
      <w:r w:rsidR="00893758">
        <w:rPr>
          <w:rFonts w:ascii="Times New Roman" w:hAnsi="Times New Roman" w:cs="Times New Roman"/>
          <w:sz w:val="24"/>
          <w:szCs w:val="24"/>
        </w:rPr>
        <w:t>i seš</w:t>
      </w:r>
      <w:r w:rsidR="00B411F0">
        <w:rPr>
          <w:rFonts w:ascii="Times New Roman" w:hAnsi="Times New Roman" w:cs="Times New Roman"/>
          <w:sz w:val="24"/>
          <w:szCs w:val="24"/>
        </w:rPr>
        <w:t>desmit</w:t>
      </w:r>
      <w:r w:rsidR="00893758">
        <w:rPr>
          <w:rFonts w:ascii="Times New Roman" w:hAnsi="Times New Roman" w:cs="Times New Roman"/>
          <w:sz w:val="24"/>
          <w:szCs w:val="24"/>
        </w:rPr>
        <w:t xml:space="preserve"> pieci</w:t>
      </w:r>
      <w:r w:rsidR="006765C2">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988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 xml:space="preserve">Druvienas pagastā ar nosaukumu “Lauka </w:t>
      </w:r>
      <w:proofErr w:type="spellStart"/>
      <w:r w:rsidR="00B411F0" w:rsidRPr="00B411F0">
        <w:rPr>
          <w:rFonts w:ascii="Times New Roman" w:hAnsi="Times New Roman" w:cs="Times New Roman"/>
          <w:sz w:val="24"/>
          <w:szCs w:val="24"/>
          <w:lang w:eastAsia="en-US"/>
        </w:rPr>
        <w:t>Svilāres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098223FB"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893758">
        <w:rPr>
          <w:rFonts w:ascii="Times New Roman" w:hAnsi="Times New Roman" w:cs="Times New Roman"/>
          <w:color w:val="000000"/>
          <w:sz w:val="24"/>
          <w:szCs w:val="24"/>
        </w:rPr>
        <w:t>4.oktobra</w:t>
      </w:r>
      <w:r w:rsidRPr="001C4155">
        <w:rPr>
          <w:rFonts w:ascii="Times New Roman" w:hAnsi="Times New Roman" w:cs="Times New Roman"/>
          <w:color w:val="000000"/>
          <w:sz w:val="24"/>
          <w:szCs w:val="24"/>
        </w:rPr>
        <w:t xml:space="preserve"> plkst.13:00 līdz 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893758">
        <w:rPr>
          <w:rFonts w:ascii="Times New Roman" w:hAnsi="Times New Roman" w:cs="Times New Roman"/>
          <w:color w:val="000000"/>
          <w:sz w:val="24"/>
          <w:szCs w:val="24"/>
        </w:rPr>
        <w:t>24.oktobrim</w:t>
      </w:r>
      <w:r w:rsidRPr="00416991">
        <w:rPr>
          <w:rFonts w:ascii="Times New Roman" w:hAnsi="Times New Roman" w:cs="Times New Roman"/>
          <w:color w:val="000000"/>
          <w:sz w:val="24"/>
          <w:szCs w:val="24"/>
        </w:rPr>
        <w:t xml:space="preserve"> plkst. 23:59 elektronisko izsoļu vietnē </w:t>
      </w:r>
      <w:hyperlink r:id="rId13"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4"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438CA8E0"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893758">
        <w:rPr>
          <w:rFonts w:ascii="Times New Roman" w:hAnsi="Times New Roman" w:cs="Times New Roman"/>
          <w:sz w:val="24"/>
          <w:szCs w:val="24"/>
        </w:rPr>
        <w:t>4.oktobrī</w:t>
      </w:r>
      <w:r w:rsidRPr="001C4155">
        <w:rPr>
          <w:rFonts w:ascii="Times New Roman" w:hAnsi="Times New Roman" w:cs="Times New Roman"/>
          <w:sz w:val="24"/>
          <w:szCs w:val="24"/>
        </w:rPr>
        <w:t xml:space="preserve"> plkst.13:00 un noslēdzas 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893758">
        <w:rPr>
          <w:rFonts w:ascii="Times New Roman" w:hAnsi="Times New Roman" w:cs="Times New Roman"/>
          <w:sz w:val="24"/>
          <w:szCs w:val="24"/>
        </w:rPr>
        <w:t>4.novembrī</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8"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9375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7F8E0F1A" w14:textId="703ED381" w:rsidR="008E7036" w:rsidRPr="00893758" w:rsidRDefault="00893758" w:rsidP="0089375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9"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w:t>
      </w:r>
      <w:proofErr w:type="spellStart"/>
      <w:r w:rsidRPr="008703D2">
        <w:rPr>
          <w:rFonts w:ascii="Times New Roman" w:hAnsi="Times New Roman" w:cs="Times New Roman"/>
          <w:color w:val="000000"/>
          <w:sz w:val="24"/>
          <w:szCs w:val="24"/>
        </w:rPr>
        <w:t>pārsolījums</w:t>
      </w:r>
      <w:proofErr w:type="spellEnd"/>
      <w:r w:rsidRPr="008703D2">
        <w:rPr>
          <w:rFonts w:ascii="Times New Roman" w:hAnsi="Times New Roman" w:cs="Times New Roman"/>
          <w:color w:val="000000"/>
          <w:sz w:val="24"/>
          <w:szCs w:val="24"/>
        </w:rPr>
        <w:t xml:space="preserve">;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141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33B2"/>
    <w:rsid w:val="003666A9"/>
    <w:rsid w:val="00370F10"/>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B6C5D"/>
    <w:rsid w:val="005D55F0"/>
    <w:rsid w:val="005F1301"/>
    <w:rsid w:val="005F1CA5"/>
    <w:rsid w:val="00604EED"/>
    <w:rsid w:val="00624291"/>
    <w:rsid w:val="0063024C"/>
    <w:rsid w:val="00637892"/>
    <w:rsid w:val="00645566"/>
    <w:rsid w:val="00647E15"/>
    <w:rsid w:val="006518A1"/>
    <w:rsid w:val="006526EA"/>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3D9"/>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3758"/>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C77D7"/>
    <w:rsid w:val="009D27E5"/>
    <w:rsid w:val="009D31CF"/>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A6529"/>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491A"/>
    <w:rsid w:val="00BF67CE"/>
    <w:rsid w:val="00BF77C3"/>
    <w:rsid w:val="00C06EF5"/>
    <w:rsid w:val="00C07439"/>
    <w:rsid w:val="00C10E35"/>
    <w:rsid w:val="00C1214E"/>
    <w:rsid w:val="00C15F2C"/>
    <w:rsid w:val="00C21B1D"/>
    <w:rsid w:val="00C21F40"/>
    <w:rsid w:val="00C302A8"/>
    <w:rsid w:val="00C315AD"/>
    <w:rsid w:val="00C36DB1"/>
    <w:rsid w:val="00C477CB"/>
    <w:rsid w:val="00C60DC6"/>
    <w:rsid w:val="00C64DA7"/>
    <w:rsid w:val="00C660CA"/>
    <w:rsid w:val="00C76DB5"/>
    <w:rsid w:val="00C77A37"/>
    <w:rsid w:val="00C807E0"/>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4712"/>
    <w:rsid w:val="00DA5291"/>
    <w:rsid w:val="00DA5349"/>
    <w:rsid w:val="00DA5BFE"/>
    <w:rsid w:val="00DB0925"/>
    <w:rsid w:val="00DC168E"/>
    <w:rsid w:val="00DC437D"/>
    <w:rsid w:val="00DD0031"/>
    <w:rsid w:val="00DE2164"/>
    <w:rsid w:val="00E04536"/>
    <w:rsid w:val="00E073E9"/>
    <w:rsid w:val="00E13EA6"/>
    <w:rsid w:val="00E14537"/>
    <w:rsid w:val="00E16479"/>
    <w:rsid w:val="00E35063"/>
    <w:rsid w:val="00E408E5"/>
    <w:rsid w:val="00E473F3"/>
    <w:rsid w:val="00E550F8"/>
    <w:rsid w:val="00E62237"/>
    <w:rsid w:val="00E67226"/>
    <w:rsid w:val="00E71E8F"/>
    <w:rsid w:val="00E74528"/>
    <w:rsid w:val="00E7535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64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lelde.bask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EF26-E410-4EB9-9601-5543756C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13774</Words>
  <Characters>7852</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4</cp:revision>
  <cp:lastPrinted>2021-12-15T06:22:00Z</cp:lastPrinted>
  <dcterms:created xsi:type="dcterms:W3CDTF">2024-09-13T08:09:00Z</dcterms:created>
  <dcterms:modified xsi:type="dcterms:W3CDTF">2024-09-18T05:57:00Z</dcterms:modified>
</cp:coreProperties>
</file>