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21637398"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2024.gada </w:t>
      </w:r>
      <w:r w:rsidR="00191382">
        <w:rPr>
          <w:rFonts w:ascii="Times New Roman" w:eastAsiaTheme="minorHAnsi" w:hAnsi="Times New Roman"/>
          <w:sz w:val="20"/>
          <w:szCs w:val="20"/>
        </w:rPr>
        <w:t>4</w:t>
      </w:r>
      <w:r w:rsidR="004A6970">
        <w:rPr>
          <w:rFonts w:ascii="Times New Roman" w:eastAsiaTheme="minorHAnsi" w:hAnsi="Times New Roman"/>
          <w:sz w:val="20"/>
          <w:szCs w:val="20"/>
        </w:rPr>
        <w:t>.</w:t>
      </w:r>
      <w:r w:rsidR="00191382">
        <w:rPr>
          <w:rFonts w:ascii="Times New Roman" w:eastAsiaTheme="minorHAnsi" w:hAnsi="Times New Roman"/>
          <w:sz w:val="20"/>
          <w:szCs w:val="20"/>
        </w:rPr>
        <w:t xml:space="preserve">oktobra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1786DD79"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191382">
        <w:rPr>
          <w:rFonts w:ascii="Times New Roman" w:eastAsiaTheme="minorHAnsi" w:hAnsi="Times New Roman"/>
          <w:sz w:val="20"/>
          <w:szCs w:val="20"/>
        </w:rPr>
        <w:t>380</w:t>
      </w:r>
    </w:p>
    <w:p w14:paraId="11FA0500" w14:textId="77777777" w:rsidR="008F6D3C" w:rsidRDefault="008F6D3C" w:rsidP="00557BE6">
      <w:pPr>
        <w:spacing w:after="0"/>
        <w:ind w:right="-58"/>
        <w:jc w:val="center"/>
        <w:rPr>
          <w:rFonts w:ascii="Times New Roman" w:hAnsi="Times New Roman"/>
          <w:b/>
          <w:sz w:val="24"/>
          <w:szCs w:val="24"/>
        </w:rPr>
      </w:pPr>
    </w:p>
    <w:p w14:paraId="3A8FA77E" w14:textId="77777777" w:rsidR="003C2D68" w:rsidRDefault="003C2D68" w:rsidP="00557BE6">
      <w:pPr>
        <w:spacing w:after="0"/>
        <w:ind w:right="-58"/>
        <w:jc w:val="center"/>
        <w:rPr>
          <w:rFonts w:ascii="Times New Roman" w:hAnsi="Times New Roman"/>
          <w:b/>
          <w:sz w:val="24"/>
          <w:szCs w:val="24"/>
        </w:rPr>
      </w:pPr>
    </w:p>
    <w:p w14:paraId="04C85D29" w14:textId="07170EBE" w:rsidR="00F3419D" w:rsidRDefault="009E7B7C" w:rsidP="00557BE6">
      <w:pPr>
        <w:spacing w:after="0"/>
        <w:ind w:right="-58"/>
        <w:jc w:val="center"/>
        <w:rPr>
          <w:rFonts w:ascii="Times New Roman" w:hAnsi="Times New Roman"/>
          <w:b/>
          <w:sz w:val="24"/>
          <w:szCs w:val="24"/>
        </w:rPr>
      </w:pPr>
      <w:r>
        <w:rPr>
          <w:rFonts w:ascii="Times New Roman" w:hAnsi="Times New Roman"/>
          <w:b/>
          <w:sz w:val="24"/>
          <w:szCs w:val="24"/>
        </w:rPr>
        <w:t>Nedzīvojam</w:t>
      </w:r>
      <w:r w:rsidR="00B7777A">
        <w:rPr>
          <w:rFonts w:ascii="Times New Roman" w:hAnsi="Times New Roman"/>
          <w:b/>
          <w:sz w:val="24"/>
          <w:szCs w:val="24"/>
        </w:rPr>
        <w:t>o</w:t>
      </w:r>
      <w:r>
        <w:rPr>
          <w:rFonts w:ascii="Times New Roman" w:hAnsi="Times New Roman"/>
          <w:b/>
          <w:sz w:val="24"/>
          <w:szCs w:val="24"/>
        </w:rPr>
        <w:t xml:space="preserve"> telp</w:t>
      </w:r>
      <w:r w:rsidR="00B7777A">
        <w:rPr>
          <w:rFonts w:ascii="Times New Roman" w:hAnsi="Times New Roman"/>
          <w:b/>
          <w:sz w:val="24"/>
          <w:szCs w:val="24"/>
        </w:rPr>
        <w:t>u</w:t>
      </w:r>
      <w:r>
        <w:rPr>
          <w:rFonts w:ascii="Times New Roman" w:hAnsi="Times New Roman"/>
          <w:b/>
          <w:sz w:val="24"/>
          <w:szCs w:val="24"/>
        </w:rPr>
        <w:t xml:space="preserve"> ēkā ar kadastra apzīmējumu 5001 002 0112 002, adrese</w:t>
      </w:r>
      <w:r w:rsidR="00557BE6" w:rsidRPr="00557BE6">
        <w:rPr>
          <w:rFonts w:ascii="Times New Roman" w:hAnsi="Times New Roman"/>
          <w:b/>
          <w:sz w:val="24"/>
          <w:szCs w:val="24"/>
        </w:rPr>
        <w:t>: Skolas iela 12A, Gulbene, Gulbenes novads</w:t>
      </w:r>
      <w:r w:rsidR="00B7777A">
        <w:rPr>
          <w:rFonts w:ascii="Times New Roman" w:hAnsi="Times New Roman"/>
          <w:b/>
          <w:sz w:val="24"/>
          <w:szCs w:val="24"/>
        </w:rPr>
        <w:t>,</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6A235209"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Pr="00585DD3">
        <w:rPr>
          <w:rFonts w:ascii="Times New Roman" w:hAnsi="Times New Roman"/>
          <w:noProof/>
          <w:sz w:val="24"/>
          <w:szCs w:val="24"/>
        </w:rPr>
        <w:t>nekustam</w:t>
      </w:r>
      <w:r w:rsidR="009E7B7C">
        <w:rPr>
          <w:rFonts w:ascii="Times New Roman" w:hAnsi="Times New Roman"/>
          <w:noProof/>
          <w:sz w:val="24"/>
          <w:szCs w:val="24"/>
        </w:rPr>
        <w:t>ā</w:t>
      </w:r>
      <w:r w:rsidRPr="00585DD3">
        <w:rPr>
          <w:rFonts w:ascii="Times New Roman" w:hAnsi="Times New Roman"/>
          <w:noProof/>
          <w:sz w:val="24"/>
          <w:szCs w:val="24"/>
        </w:rPr>
        <w:t xml:space="preserve"> īpašum</w:t>
      </w:r>
      <w:r w:rsidR="00B7777A">
        <w:rPr>
          <w:rFonts w:ascii="Times New Roman" w:hAnsi="Times New Roman"/>
          <w:noProof/>
          <w:sz w:val="24"/>
          <w:szCs w:val="24"/>
        </w:rPr>
        <w:t>a</w:t>
      </w:r>
      <w:r w:rsidR="00BD2226">
        <w:rPr>
          <w:rFonts w:ascii="Times New Roman" w:hAnsi="Times New Roman"/>
          <w:noProof/>
          <w:sz w:val="24"/>
          <w:szCs w:val="24"/>
        </w:rPr>
        <w:t>,</w:t>
      </w:r>
      <w:r w:rsidRPr="00585DD3">
        <w:rPr>
          <w:rFonts w:ascii="Times New Roman" w:hAnsi="Times New Roman"/>
          <w:noProof/>
          <w:sz w:val="24"/>
          <w:szCs w:val="24"/>
        </w:rPr>
        <w:t xml:space="preserve"> </w:t>
      </w:r>
      <w:r w:rsidR="00BD2226" w:rsidRPr="00BD2226">
        <w:rPr>
          <w:rFonts w:ascii="Times New Roman" w:hAnsi="Times New Roman"/>
          <w:bCs/>
          <w:sz w:val="24"/>
          <w:szCs w:val="24"/>
        </w:rPr>
        <w:t>kadastra numurs 5001 002 0112,</w:t>
      </w:r>
      <w:r w:rsidR="00B7777A">
        <w:rPr>
          <w:rFonts w:ascii="Times New Roman" w:hAnsi="Times New Roman"/>
          <w:bCs/>
          <w:sz w:val="24"/>
          <w:szCs w:val="24"/>
        </w:rPr>
        <w:t xml:space="preserve"> </w:t>
      </w:r>
      <w:r w:rsidR="00BD2226" w:rsidRPr="00BD2226">
        <w:rPr>
          <w:rFonts w:ascii="Times New Roman" w:hAnsi="Times New Roman"/>
          <w:bCs/>
          <w:sz w:val="24"/>
          <w:szCs w:val="24"/>
        </w:rPr>
        <w:t xml:space="preserve">sastāvā esošās ēkas ar kadastra </w:t>
      </w:r>
      <w:r w:rsidR="006B1DB9">
        <w:rPr>
          <w:rFonts w:ascii="Times New Roman" w:hAnsi="Times New Roman"/>
          <w:bCs/>
          <w:sz w:val="24"/>
          <w:szCs w:val="24"/>
        </w:rPr>
        <w:t xml:space="preserve">apzīmējumu 5001 002 0112 002 </w:t>
      </w:r>
      <w:r w:rsidR="00B7777A">
        <w:rPr>
          <w:rFonts w:ascii="Times New Roman" w:hAnsi="Times New Roman"/>
          <w:bCs/>
          <w:sz w:val="24"/>
          <w:szCs w:val="24"/>
        </w:rPr>
        <w:t>un</w:t>
      </w:r>
      <w:r w:rsidR="009E7B7C">
        <w:rPr>
          <w:rFonts w:ascii="Times New Roman" w:hAnsi="Times New Roman"/>
          <w:bCs/>
          <w:sz w:val="24"/>
          <w:szCs w:val="24"/>
        </w:rPr>
        <w:t xml:space="preserve"> </w:t>
      </w:r>
      <w:r w:rsidR="009E7B7C" w:rsidRPr="00BD2226">
        <w:rPr>
          <w:rFonts w:ascii="Times New Roman" w:hAnsi="Times New Roman"/>
          <w:bCs/>
          <w:sz w:val="24"/>
          <w:szCs w:val="24"/>
        </w:rPr>
        <w:t>adres</w:t>
      </w:r>
      <w:r w:rsidR="00B7777A">
        <w:rPr>
          <w:rFonts w:ascii="Times New Roman" w:hAnsi="Times New Roman"/>
          <w:bCs/>
          <w:sz w:val="24"/>
          <w:szCs w:val="24"/>
        </w:rPr>
        <w:t>i</w:t>
      </w:r>
      <w:r w:rsidR="009E7B7C" w:rsidRPr="00BD2226">
        <w:rPr>
          <w:rFonts w:ascii="Times New Roman" w:hAnsi="Times New Roman"/>
          <w:bCs/>
          <w:sz w:val="24"/>
          <w:szCs w:val="24"/>
        </w:rPr>
        <w:t>: Skolas iela 12A, Gulbene, Gulbenes novads</w:t>
      </w:r>
      <w:r w:rsidR="009E7B7C">
        <w:rPr>
          <w:rFonts w:ascii="Times New Roman" w:hAnsi="Times New Roman"/>
          <w:bCs/>
          <w:sz w:val="24"/>
          <w:szCs w:val="24"/>
        </w:rPr>
        <w:t>,</w:t>
      </w:r>
      <w:r w:rsidR="00BD2226" w:rsidRPr="00BD2226">
        <w:rPr>
          <w:rFonts w:ascii="Times New Roman" w:hAnsi="Times New Roman"/>
          <w:bCs/>
          <w:sz w:val="24"/>
          <w:szCs w:val="24"/>
        </w:rPr>
        <w:t xml:space="preserve"> telpu grupā ar kadastra apzīmējumu 5001 002 0112 002 001 ietilpstoš</w:t>
      </w:r>
      <w:r w:rsidR="00B7777A">
        <w:rPr>
          <w:rFonts w:ascii="Times New Roman" w:hAnsi="Times New Roman"/>
          <w:bCs/>
          <w:sz w:val="24"/>
          <w:szCs w:val="24"/>
        </w:rPr>
        <w:t xml:space="preserve">o nedzīvojamo telpu </w:t>
      </w:r>
      <w:r w:rsidR="00B7777A" w:rsidRPr="00BD2226">
        <w:rPr>
          <w:rFonts w:ascii="Times New Roman" w:hAnsi="Times New Roman"/>
          <w:bCs/>
          <w:noProof/>
          <w:sz w:val="24"/>
          <w:szCs w:val="24"/>
        </w:rPr>
        <w:t>kopplatībā 25,75 m</w:t>
      </w:r>
      <w:r w:rsidR="00B7777A" w:rsidRPr="00BD2226">
        <w:rPr>
          <w:rFonts w:ascii="Times New Roman" w:hAnsi="Times New Roman"/>
          <w:bCs/>
          <w:noProof/>
          <w:sz w:val="24"/>
          <w:szCs w:val="24"/>
          <w:vertAlign w:val="superscript"/>
        </w:rPr>
        <w:t>2</w:t>
      </w:r>
      <w:r w:rsidR="00B7777A" w:rsidRPr="00BD2226">
        <w:rPr>
          <w:rFonts w:ascii="Times New Roman" w:hAnsi="Times New Roman"/>
          <w:bCs/>
          <w:noProof/>
          <w:sz w:val="24"/>
          <w:szCs w:val="24"/>
        </w:rPr>
        <w:t>,</w:t>
      </w:r>
      <w:r w:rsidR="00B7777A">
        <w:rPr>
          <w:rFonts w:ascii="Times New Roman" w:hAnsi="Times New Roman"/>
          <w:bCs/>
          <w:noProof/>
          <w:sz w:val="24"/>
          <w:szCs w:val="24"/>
        </w:rPr>
        <w:t xml:space="preserve"> tai skaitā </w:t>
      </w:r>
      <w:r w:rsidR="00B7777A">
        <w:rPr>
          <w:rFonts w:ascii="Times New Roman" w:hAnsi="Times New Roman"/>
          <w:bCs/>
          <w:sz w:val="24"/>
          <w:szCs w:val="24"/>
        </w:rPr>
        <w:t>2.stāva</w:t>
      </w:r>
      <w:r w:rsidR="00B7777A" w:rsidRPr="00BD2226">
        <w:rPr>
          <w:rFonts w:ascii="Times New Roman" w:hAnsi="Times New Roman"/>
          <w:bCs/>
          <w:sz w:val="24"/>
          <w:szCs w:val="24"/>
        </w:rPr>
        <w:t xml:space="preserve"> </w:t>
      </w:r>
      <w:r w:rsidR="00BD2226" w:rsidRPr="00BD2226">
        <w:rPr>
          <w:rFonts w:ascii="Times New Roman" w:hAnsi="Times New Roman"/>
          <w:bCs/>
          <w:sz w:val="24"/>
          <w:szCs w:val="24"/>
        </w:rPr>
        <w:t>nedzīvojamās telpas Nr.50 25,5 m</w:t>
      </w:r>
      <w:r w:rsidR="00BD2226" w:rsidRPr="00BD2226">
        <w:rPr>
          <w:rFonts w:ascii="Times New Roman" w:hAnsi="Times New Roman"/>
          <w:bCs/>
          <w:sz w:val="24"/>
          <w:szCs w:val="24"/>
          <w:vertAlign w:val="superscript"/>
        </w:rPr>
        <w:t>2</w:t>
      </w:r>
      <w:r w:rsidR="00BD2226" w:rsidRPr="00BD2226">
        <w:rPr>
          <w:rFonts w:ascii="Times New Roman" w:hAnsi="Times New Roman"/>
          <w:bCs/>
          <w:sz w:val="24"/>
          <w:szCs w:val="24"/>
        </w:rPr>
        <w:t xml:space="preserve"> platībā</w:t>
      </w:r>
      <w:r w:rsidR="00BD2226" w:rsidRPr="00BD2226">
        <w:rPr>
          <w:rFonts w:ascii="Times New Roman" w:hAnsi="Times New Roman"/>
          <w:bCs/>
          <w:noProof/>
          <w:sz w:val="24"/>
          <w:szCs w:val="24"/>
        </w:rPr>
        <w:t xml:space="preserve"> un </w:t>
      </w:r>
      <w:r w:rsidR="00B7777A" w:rsidRPr="00BD2226">
        <w:rPr>
          <w:rFonts w:ascii="Times New Roman" w:hAnsi="Times New Roman"/>
          <w:bCs/>
          <w:noProof/>
          <w:sz w:val="24"/>
          <w:szCs w:val="24"/>
        </w:rPr>
        <w:t>1.stāv</w:t>
      </w:r>
      <w:r w:rsidR="00B7777A">
        <w:rPr>
          <w:rFonts w:ascii="Times New Roman" w:hAnsi="Times New Roman"/>
          <w:bCs/>
          <w:noProof/>
          <w:sz w:val="24"/>
          <w:szCs w:val="24"/>
        </w:rPr>
        <w:t>a</w:t>
      </w:r>
      <w:r w:rsidR="00B7777A" w:rsidRPr="00BD2226">
        <w:rPr>
          <w:rFonts w:ascii="Times New Roman" w:hAnsi="Times New Roman"/>
          <w:bCs/>
          <w:noProof/>
          <w:sz w:val="24"/>
          <w:szCs w:val="24"/>
        </w:rPr>
        <w:t xml:space="preserve"> </w:t>
      </w:r>
      <w:r w:rsidR="00BD2226" w:rsidRPr="00BD2226">
        <w:rPr>
          <w:rFonts w:ascii="Times New Roman" w:hAnsi="Times New Roman"/>
          <w:bCs/>
          <w:noProof/>
          <w:sz w:val="24"/>
          <w:szCs w:val="24"/>
        </w:rPr>
        <w:t>koplietiešanas telpu Nr.7, Nr.8, Nr.9, Nr.10, Nr.12, Nr.13, Nr.14</w:t>
      </w:r>
      <w:r w:rsidR="00B7777A">
        <w:rPr>
          <w:rFonts w:ascii="Times New Roman" w:hAnsi="Times New Roman"/>
          <w:bCs/>
          <w:noProof/>
          <w:sz w:val="24"/>
          <w:szCs w:val="24"/>
        </w:rPr>
        <w:t xml:space="preserve"> un</w:t>
      </w:r>
      <w:r w:rsidR="00BD2226" w:rsidRPr="00BD2226">
        <w:rPr>
          <w:rFonts w:ascii="Times New Roman" w:hAnsi="Times New Roman"/>
          <w:bCs/>
          <w:noProof/>
          <w:sz w:val="24"/>
          <w:szCs w:val="24"/>
        </w:rPr>
        <w:t xml:space="preserve"> Nr.15 daļas 0,25 m</w:t>
      </w:r>
      <w:r w:rsidR="00BD2226" w:rsidRPr="00BD2226">
        <w:rPr>
          <w:rFonts w:ascii="Times New Roman" w:hAnsi="Times New Roman"/>
          <w:bCs/>
          <w:noProof/>
          <w:sz w:val="24"/>
          <w:szCs w:val="24"/>
          <w:vertAlign w:val="superscript"/>
        </w:rPr>
        <w:t>2</w:t>
      </w:r>
      <w:r w:rsidR="00BD2226" w:rsidRPr="00BD2226">
        <w:rPr>
          <w:rFonts w:ascii="Times New Roman" w:hAnsi="Times New Roman"/>
          <w:bCs/>
          <w:noProof/>
          <w:sz w:val="24"/>
          <w:szCs w:val="24"/>
        </w:rPr>
        <w:t xml:space="preserve"> platībā,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6676F809"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6E14780D"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 xml:space="preserve">Gulbenes novada pašvaldības mantas iznomāšanas komisijas 2024. gada </w:t>
      </w:r>
      <w:r w:rsidR="006E0407">
        <w:rPr>
          <w:rFonts w:ascii="Times New Roman" w:eastAsia="Times New Roman" w:hAnsi="Times New Roman"/>
          <w:sz w:val="24"/>
          <w:szCs w:val="24"/>
        </w:rPr>
        <w:t>4</w:t>
      </w:r>
      <w:r w:rsidRPr="005F5FB2">
        <w:rPr>
          <w:rFonts w:ascii="Times New Roman" w:eastAsia="Times New Roman" w:hAnsi="Times New Roman"/>
          <w:sz w:val="24"/>
          <w:szCs w:val="24"/>
        </w:rPr>
        <w:t>.</w:t>
      </w:r>
      <w:r w:rsidR="006E0407">
        <w:rPr>
          <w:rFonts w:ascii="Times New Roman" w:eastAsia="Times New Roman" w:hAnsi="Times New Roman"/>
          <w:sz w:val="24"/>
          <w:szCs w:val="24"/>
        </w:rPr>
        <w:t>oktobra</w:t>
      </w:r>
      <w:r w:rsidRPr="005F5FB2">
        <w:rPr>
          <w:rFonts w:ascii="Times New Roman" w:eastAsia="Times New Roman" w:hAnsi="Times New Roman"/>
          <w:sz w:val="24"/>
          <w:szCs w:val="24"/>
        </w:rPr>
        <w:t xml:space="preserve"> lēmumu Nr. GND/2.6.1/24</w:t>
      </w:r>
      <w:r w:rsidR="006E0407">
        <w:rPr>
          <w:rFonts w:ascii="Times New Roman" w:eastAsia="Times New Roman" w:hAnsi="Times New Roman"/>
          <w:sz w:val="24"/>
          <w:szCs w:val="24"/>
        </w:rPr>
        <w:t>/380</w:t>
      </w:r>
      <w:r w:rsidRPr="005F5FB2">
        <w:rPr>
          <w:rFonts w:ascii="Times New Roman" w:eastAsia="Times New Roman" w:hAnsi="Times New Roman"/>
          <w:sz w:val="24"/>
          <w:szCs w:val="24"/>
        </w:rPr>
        <w:t xml:space="preserve"> “</w:t>
      </w:r>
      <w:r w:rsidR="005B2D46" w:rsidRPr="005B2D46">
        <w:rPr>
          <w:rFonts w:ascii="Times New Roman" w:eastAsia="Times New Roman" w:hAnsi="Times New Roman"/>
          <w:sz w:val="24"/>
          <w:szCs w:val="24"/>
        </w:rPr>
        <w:t>Par</w:t>
      </w:r>
      <w:r w:rsidR="00C5335D">
        <w:rPr>
          <w:rFonts w:ascii="Times New Roman" w:eastAsia="Times New Roman" w:hAnsi="Times New Roman"/>
          <w:sz w:val="24"/>
          <w:szCs w:val="24"/>
        </w:rPr>
        <w:t xml:space="preserve"> nedzīvojam</w:t>
      </w:r>
      <w:r w:rsidR="00B7777A">
        <w:rPr>
          <w:rFonts w:ascii="Times New Roman" w:eastAsia="Times New Roman" w:hAnsi="Times New Roman"/>
          <w:sz w:val="24"/>
          <w:szCs w:val="24"/>
        </w:rPr>
        <w:t>o</w:t>
      </w:r>
      <w:r w:rsidR="00C5335D">
        <w:rPr>
          <w:rFonts w:ascii="Times New Roman" w:eastAsia="Times New Roman" w:hAnsi="Times New Roman"/>
          <w:sz w:val="24"/>
          <w:szCs w:val="24"/>
        </w:rPr>
        <w:t xml:space="preserve"> telp</w:t>
      </w:r>
      <w:r w:rsidR="00B7777A">
        <w:rPr>
          <w:rFonts w:ascii="Times New Roman" w:eastAsia="Times New Roman" w:hAnsi="Times New Roman"/>
          <w:sz w:val="24"/>
          <w:szCs w:val="24"/>
        </w:rPr>
        <w:t>u</w:t>
      </w:r>
      <w:r w:rsidR="00C5335D">
        <w:rPr>
          <w:rFonts w:ascii="Times New Roman" w:eastAsia="Times New Roman" w:hAnsi="Times New Roman"/>
          <w:sz w:val="24"/>
          <w:szCs w:val="24"/>
        </w:rPr>
        <w:t xml:space="preserve"> ēkā ar kadastra apzīmējumu 5001 002 0112 002, adrese: Skolas iela 12A, Gulbene, Gulbenes novads, </w:t>
      </w:r>
      <w:r w:rsidR="005B2D46" w:rsidRPr="005B2D46">
        <w:rPr>
          <w:rFonts w:ascii="Times New Roman" w:eastAsia="Times New Roman" w:hAnsi="Times New Roman"/>
          <w:sz w:val="24"/>
          <w:szCs w:val="24"/>
        </w:rPr>
        <w:t>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B7777A">
        <w:rPr>
          <w:rFonts w:ascii="Times New Roman" w:hAnsi="Times New Roman"/>
          <w:sz w:val="24"/>
          <w:szCs w:val="24"/>
        </w:rPr>
        <w:t>v</w:t>
      </w:r>
      <w:r w:rsidR="00B7777A" w:rsidRPr="00B7777A">
        <w:rPr>
          <w:rFonts w:ascii="Times New Roman" w:hAnsi="Times New Roman"/>
          <w:sz w:val="24"/>
          <w:szCs w:val="24"/>
        </w:rPr>
        <w:t xml:space="preserve">ecākā zemes lietu speciāliste </w:t>
      </w:r>
      <w:r w:rsidRPr="00B7777A">
        <w:rPr>
          <w:rFonts w:ascii="Times New Roman" w:hAnsi="Times New Roman"/>
          <w:sz w:val="24"/>
          <w:szCs w:val="24"/>
        </w:rPr>
        <w:t>Ineta Otvare (tālrunis 64472217).</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680F07D2" w:rsidR="000C2222" w:rsidRPr="00A7601D"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5001 002 0112, sastāvā esošās ēkas ar kadastra apzīmējumu 5001 002 0112 002 </w:t>
      </w:r>
      <w:r w:rsidR="00B7777A">
        <w:rPr>
          <w:rFonts w:ascii="Times New Roman" w:hAnsi="Times New Roman"/>
          <w:bCs/>
          <w:sz w:val="24"/>
          <w:szCs w:val="24"/>
        </w:rPr>
        <w:t>un</w:t>
      </w:r>
      <w:r w:rsidR="004C6B01">
        <w:rPr>
          <w:rFonts w:ascii="Times New Roman" w:hAnsi="Times New Roman"/>
          <w:bCs/>
          <w:sz w:val="24"/>
          <w:szCs w:val="24"/>
        </w:rPr>
        <w:t xml:space="preserve"> </w:t>
      </w:r>
      <w:r w:rsidR="004C6B01" w:rsidRPr="00A7601D">
        <w:rPr>
          <w:rFonts w:ascii="Times New Roman" w:hAnsi="Times New Roman"/>
          <w:bCs/>
          <w:sz w:val="24"/>
          <w:szCs w:val="24"/>
        </w:rPr>
        <w:t>adres</w:t>
      </w:r>
      <w:r w:rsidR="00B7777A">
        <w:rPr>
          <w:rFonts w:ascii="Times New Roman" w:hAnsi="Times New Roman"/>
          <w:bCs/>
          <w:sz w:val="24"/>
          <w:szCs w:val="24"/>
        </w:rPr>
        <w:t>i</w:t>
      </w:r>
      <w:r w:rsidR="004C6B01" w:rsidRPr="00A7601D">
        <w:rPr>
          <w:rFonts w:ascii="Times New Roman" w:hAnsi="Times New Roman"/>
          <w:bCs/>
          <w:sz w:val="24"/>
          <w:szCs w:val="24"/>
        </w:rPr>
        <w:t xml:space="preserve">: Skolas iela 12A, Gulbene, Gulbenes novads, </w:t>
      </w:r>
      <w:r w:rsidR="00A7601D" w:rsidRPr="00A7601D">
        <w:rPr>
          <w:rFonts w:ascii="Times New Roman" w:hAnsi="Times New Roman"/>
          <w:bCs/>
          <w:sz w:val="24"/>
          <w:szCs w:val="24"/>
        </w:rPr>
        <w:t>telpu grupā ar kadastra apzīmējumu 5001 002 0112 002 001 ietilpstošā</w:t>
      </w:r>
      <w:r w:rsidR="00B7777A">
        <w:rPr>
          <w:rFonts w:ascii="Times New Roman" w:hAnsi="Times New Roman"/>
          <w:bCs/>
          <w:sz w:val="24"/>
          <w:szCs w:val="24"/>
        </w:rPr>
        <w:t>s</w:t>
      </w:r>
      <w:r w:rsidR="00A7601D" w:rsidRPr="00A7601D">
        <w:rPr>
          <w:rFonts w:ascii="Times New Roman" w:hAnsi="Times New Roman"/>
          <w:bCs/>
          <w:sz w:val="24"/>
          <w:szCs w:val="24"/>
        </w:rPr>
        <w:t xml:space="preserve"> nedzīvojamā</w:t>
      </w:r>
      <w:r w:rsidR="00B7777A">
        <w:rPr>
          <w:rFonts w:ascii="Times New Roman" w:hAnsi="Times New Roman"/>
          <w:bCs/>
          <w:sz w:val="24"/>
          <w:szCs w:val="24"/>
        </w:rPr>
        <w:t>s</w:t>
      </w:r>
      <w:r w:rsidR="00A7601D" w:rsidRPr="00A7601D">
        <w:rPr>
          <w:rFonts w:ascii="Times New Roman" w:hAnsi="Times New Roman"/>
          <w:bCs/>
          <w:sz w:val="24"/>
          <w:szCs w:val="24"/>
        </w:rPr>
        <w:t xml:space="preserve"> telpa</w:t>
      </w:r>
      <w:r w:rsidR="00B7777A">
        <w:rPr>
          <w:rFonts w:ascii="Times New Roman" w:hAnsi="Times New Roman"/>
          <w:bCs/>
          <w:sz w:val="24"/>
          <w:szCs w:val="24"/>
        </w:rPr>
        <w:t>s</w:t>
      </w:r>
      <w:r w:rsidR="00B7777A" w:rsidRPr="00B7777A">
        <w:rPr>
          <w:rFonts w:ascii="Times New Roman" w:hAnsi="Times New Roman"/>
          <w:bCs/>
          <w:noProof/>
          <w:sz w:val="24"/>
          <w:szCs w:val="24"/>
        </w:rPr>
        <w:t xml:space="preserve"> </w:t>
      </w:r>
      <w:r w:rsidR="00B7777A" w:rsidRPr="00BD2226">
        <w:rPr>
          <w:rFonts w:ascii="Times New Roman" w:hAnsi="Times New Roman"/>
          <w:bCs/>
          <w:noProof/>
          <w:sz w:val="24"/>
          <w:szCs w:val="24"/>
        </w:rPr>
        <w:t xml:space="preserve">kopplatībā 25,75 </w:t>
      </w:r>
      <w:r w:rsidR="00B7777A" w:rsidRPr="00BD2226">
        <w:rPr>
          <w:rFonts w:ascii="Times New Roman" w:hAnsi="Times New Roman"/>
          <w:bCs/>
          <w:noProof/>
          <w:sz w:val="24"/>
          <w:szCs w:val="24"/>
        </w:rPr>
        <w:lastRenderedPageBreak/>
        <w:t>m</w:t>
      </w:r>
      <w:r w:rsidR="00B7777A" w:rsidRPr="00BD2226">
        <w:rPr>
          <w:rFonts w:ascii="Times New Roman" w:hAnsi="Times New Roman"/>
          <w:bCs/>
          <w:noProof/>
          <w:sz w:val="24"/>
          <w:szCs w:val="24"/>
          <w:vertAlign w:val="superscript"/>
        </w:rPr>
        <w:t>2</w:t>
      </w:r>
      <w:r w:rsidR="00B7777A">
        <w:rPr>
          <w:rFonts w:ascii="Times New Roman" w:hAnsi="Times New Roman"/>
          <w:bCs/>
          <w:sz w:val="24"/>
          <w:szCs w:val="24"/>
        </w:rPr>
        <w:t xml:space="preserve">, tai skaitā </w:t>
      </w:r>
      <w:r w:rsidR="00A7601D" w:rsidRPr="00A7601D">
        <w:rPr>
          <w:rFonts w:ascii="Times New Roman" w:hAnsi="Times New Roman"/>
          <w:bCs/>
          <w:sz w:val="24"/>
          <w:szCs w:val="24"/>
        </w:rPr>
        <w:t>2.stāv</w:t>
      </w:r>
      <w:r w:rsidR="00B7777A">
        <w:rPr>
          <w:rFonts w:ascii="Times New Roman" w:hAnsi="Times New Roman"/>
          <w:bCs/>
          <w:sz w:val="24"/>
          <w:szCs w:val="24"/>
        </w:rPr>
        <w:t>a nedzīvojamā telpa</w:t>
      </w:r>
      <w:r w:rsidR="00A7601D" w:rsidRPr="00A7601D">
        <w:rPr>
          <w:rFonts w:ascii="Times New Roman" w:hAnsi="Times New Roman"/>
          <w:bCs/>
          <w:sz w:val="24"/>
          <w:szCs w:val="24"/>
        </w:rPr>
        <w:t xml:space="preserve"> Nr.50 25,5 m</w:t>
      </w:r>
      <w:r w:rsidR="00A7601D" w:rsidRPr="00A7601D">
        <w:rPr>
          <w:rFonts w:ascii="Times New Roman" w:hAnsi="Times New Roman"/>
          <w:bCs/>
          <w:sz w:val="24"/>
          <w:szCs w:val="24"/>
          <w:vertAlign w:val="superscript"/>
        </w:rPr>
        <w:t>2</w:t>
      </w:r>
      <w:r w:rsidR="00A7601D" w:rsidRPr="00A7601D">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un </w:t>
      </w:r>
      <w:r w:rsidR="00B7777A" w:rsidRPr="00A7601D">
        <w:rPr>
          <w:rFonts w:ascii="Times New Roman" w:hAnsi="Times New Roman"/>
          <w:bCs/>
          <w:noProof/>
          <w:sz w:val="24"/>
          <w:szCs w:val="24"/>
        </w:rPr>
        <w:t>1.stāv</w:t>
      </w:r>
      <w:r w:rsidR="00B7777A">
        <w:rPr>
          <w:rFonts w:ascii="Times New Roman" w:hAnsi="Times New Roman"/>
          <w:bCs/>
          <w:noProof/>
          <w:sz w:val="24"/>
          <w:szCs w:val="24"/>
        </w:rPr>
        <w:t>a</w:t>
      </w:r>
      <w:r w:rsidR="00B7777A" w:rsidRPr="00A7601D">
        <w:rPr>
          <w:rFonts w:ascii="Times New Roman" w:hAnsi="Times New Roman"/>
          <w:bCs/>
          <w:noProof/>
          <w:sz w:val="24"/>
          <w:szCs w:val="24"/>
        </w:rPr>
        <w:t xml:space="preserve"> </w:t>
      </w:r>
      <w:r w:rsidR="00A7601D" w:rsidRPr="00A7601D">
        <w:rPr>
          <w:rFonts w:ascii="Times New Roman" w:hAnsi="Times New Roman"/>
          <w:bCs/>
          <w:noProof/>
          <w:sz w:val="24"/>
          <w:szCs w:val="24"/>
        </w:rPr>
        <w:t>koplietiešanas telpu Nr.7, Nr.8, Nr.9, Nr.10, Nr.12, Nr.13, Nr.14</w:t>
      </w:r>
      <w:r w:rsidR="0042132A">
        <w:rPr>
          <w:rFonts w:ascii="Times New Roman" w:hAnsi="Times New Roman"/>
          <w:bCs/>
          <w:noProof/>
          <w:sz w:val="24"/>
          <w:szCs w:val="24"/>
        </w:rPr>
        <w:t xml:space="preserve"> un</w:t>
      </w:r>
      <w:r w:rsidR="00A7601D" w:rsidRPr="00A7601D">
        <w:rPr>
          <w:rFonts w:ascii="Times New Roman" w:hAnsi="Times New Roman"/>
          <w:bCs/>
          <w:noProof/>
          <w:sz w:val="24"/>
          <w:szCs w:val="24"/>
        </w:rPr>
        <w:t xml:space="preserve"> Nr.15. daļa 0,25 m</w:t>
      </w:r>
      <w:r w:rsidR="00A7601D" w:rsidRPr="00A7601D">
        <w:rPr>
          <w:rFonts w:ascii="Times New Roman" w:hAnsi="Times New Roman"/>
          <w:bCs/>
          <w:noProof/>
          <w:sz w:val="24"/>
          <w:szCs w:val="24"/>
          <w:vertAlign w:val="superscript"/>
        </w:rPr>
        <w:t>2</w:t>
      </w:r>
      <w:r w:rsidR="00A7601D" w:rsidRPr="00A7601D">
        <w:rPr>
          <w:rFonts w:ascii="Times New Roman" w:hAnsi="Times New Roman"/>
          <w:bCs/>
          <w:noProof/>
          <w:sz w:val="24"/>
          <w:szCs w:val="24"/>
        </w:rPr>
        <w:t xml:space="preserve"> platībā, </w:t>
      </w:r>
      <w:r w:rsidR="00A44E5E" w:rsidRPr="00A7601D">
        <w:rPr>
          <w:rFonts w:ascii="Times New Roman" w:hAnsi="Times New Roman"/>
          <w:sz w:val="24"/>
          <w:szCs w:val="24"/>
        </w:rPr>
        <w:t>turpmāk viss kopā saukts – Nomas objekts.</w:t>
      </w:r>
    </w:p>
    <w:p w14:paraId="43D43EA0" w14:textId="0E08C0ED"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Īpašuma tiesības uz nekustamo īpašumu, kadastra numurs </w:t>
      </w:r>
      <w:r w:rsidR="00447205">
        <w:rPr>
          <w:rFonts w:ascii="Times New Roman" w:hAnsi="Times New Roman"/>
          <w:sz w:val="24"/>
          <w:szCs w:val="24"/>
        </w:rPr>
        <w:t>5001 002 0112</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5001 002 0112 002</w:t>
      </w:r>
      <w:r w:rsidRPr="00D85DD6">
        <w:rPr>
          <w:rFonts w:ascii="Times New Roman" w:hAnsi="Times New Roman"/>
          <w:sz w:val="24"/>
          <w:szCs w:val="24"/>
        </w:rPr>
        <w:t xml:space="preserve">, Gulbenes novada pašvaldībai nostiprinātas Vidzemes rajona tiesas </w:t>
      </w:r>
      <w:r w:rsidR="007807E2">
        <w:rPr>
          <w:rFonts w:ascii="Times New Roman" w:hAnsi="Times New Roman"/>
          <w:sz w:val="24"/>
          <w:szCs w:val="24"/>
        </w:rPr>
        <w:t>Gulbenes pilsētas</w:t>
      </w:r>
      <w:r w:rsidRPr="00D85DD6">
        <w:rPr>
          <w:rFonts w:ascii="Times New Roman" w:hAnsi="Times New Roman"/>
          <w:sz w:val="24"/>
          <w:szCs w:val="24"/>
        </w:rPr>
        <w:t xml:space="preserve"> zemesgrāmatas nodalījumā Nr. </w:t>
      </w:r>
      <w:r w:rsidR="007807E2">
        <w:rPr>
          <w:rFonts w:ascii="Times New Roman" w:eastAsia="TimesNewRomanPS-BoldItalicMT" w:hAnsi="Times New Roman"/>
          <w:sz w:val="24"/>
          <w:szCs w:val="24"/>
          <w14:ligatures w14:val="standardContextual"/>
        </w:rPr>
        <w:t>988</w:t>
      </w:r>
      <w:r w:rsidR="00385010" w:rsidRPr="00D85DD6">
        <w:rPr>
          <w:rFonts w:ascii="Times New Roman" w:hAnsi="Times New Roman"/>
          <w:sz w:val="24"/>
          <w:szCs w:val="24"/>
        </w:rPr>
        <w:t xml:space="preserve"> </w:t>
      </w:r>
      <w:r w:rsidRPr="00D85DD6">
        <w:rPr>
          <w:rFonts w:ascii="Times New Roman" w:hAnsi="Times New Roman"/>
          <w:sz w:val="24"/>
          <w:szCs w:val="24"/>
        </w:rPr>
        <w:t>(200</w:t>
      </w:r>
      <w:r w:rsidR="007807E2">
        <w:rPr>
          <w:rFonts w:ascii="Times New Roman" w:hAnsi="Times New Roman"/>
          <w:sz w:val="24"/>
          <w:szCs w:val="24"/>
        </w:rPr>
        <w:t>3</w:t>
      </w:r>
      <w:r w:rsidRPr="00D85DD6">
        <w:rPr>
          <w:rFonts w:ascii="Times New Roman" w:hAnsi="Times New Roman"/>
          <w:sz w:val="24"/>
          <w:szCs w:val="24"/>
        </w:rPr>
        <w:t xml:space="preserve">.gada </w:t>
      </w:r>
      <w:r w:rsidR="007807E2">
        <w:rPr>
          <w:rFonts w:ascii="Times New Roman" w:hAnsi="Times New Roman"/>
          <w:sz w:val="24"/>
          <w:szCs w:val="24"/>
        </w:rPr>
        <w:t>3.oktobra</w:t>
      </w:r>
      <w:r w:rsidRPr="00D85DD6">
        <w:rPr>
          <w:rFonts w:ascii="Times New Roman" w:hAnsi="Times New Roman"/>
          <w:sz w:val="24"/>
          <w:szCs w:val="24"/>
        </w:rPr>
        <w:t xml:space="preserve"> Vidzemes rajona tiesas lēmums, žurnāls Nr. </w:t>
      </w:r>
      <w:r w:rsidR="007807E2" w:rsidRPr="007807E2">
        <w:rPr>
          <w:rFonts w:ascii="Times New Roman" w:eastAsia="TimesNewRomanPS-ItalicMT" w:hAnsi="Times New Roman"/>
          <w:sz w:val="24"/>
          <w:szCs w:val="24"/>
          <w14:ligatures w14:val="standardContextual"/>
        </w:rPr>
        <w:t>300000569148</w:t>
      </w:r>
      <w:r w:rsidRPr="007807E2">
        <w:rPr>
          <w:rFonts w:ascii="Times New Roman" w:hAnsi="Times New Roman"/>
          <w:sz w:val="24"/>
          <w:szCs w:val="24"/>
        </w:rPr>
        <w:t>).</w:t>
      </w:r>
    </w:p>
    <w:p w14:paraId="7A1BF788" w14:textId="0457DE81" w:rsidR="000C2222" w:rsidRPr="002040F3"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5001 002 0112 002</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sporta ēkas</w:t>
      </w:r>
      <w:r w:rsidR="002040F3" w:rsidRPr="002040F3">
        <w:rPr>
          <w:rFonts w:ascii="Times New Roman" w:hAnsi="Times New Roman"/>
          <w:sz w:val="24"/>
          <w:szCs w:val="24"/>
        </w:rPr>
        <w:t xml:space="preserve"> (kods 126</w:t>
      </w:r>
      <w:r w:rsidR="0063642C">
        <w:rPr>
          <w:rFonts w:ascii="Times New Roman" w:hAnsi="Times New Roman"/>
          <w:sz w:val="24"/>
          <w:szCs w:val="24"/>
        </w:rPr>
        <w:t>5</w:t>
      </w:r>
      <w:r w:rsidR="002040F3" w:rsidRPr="002040F3">
        <w:rPr>
          <w:rFonts w:ascii="Times New Roman" w:hAnsi="Times New Roman"/>
          <w:sz w:val="24"/>
          <w:szCs w:val="24"/>
        </w:rPr>
        <w:t>)</w:t>
      </w:r>
      <w:r w:rsidR="0063642C">
        <w:rPr>
          <w:rFonts w:ascii="Times New Roman" w:hAnsi="Times New Roman"/>
          <w:sz w:val="24"/>
          <w:szCs w:val="24"/>
        </w:rPr>
        <w:t>.</w:t>
      </w:r>
    </w:p>
    <w:p w14:paraId="02AEC6CB" w14:textId="481ED28C" w:rsidR="00663BFC" w:rsidRPr="0042132A" w:rsidRDefault="0042132A"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2024.gada 1</w:t>
      </w:r>
      <w:r w:rsidR="000D597B">
        <w:rPr>
          <w:rFonts w:ascii="Times New Roman" w:hAnsi="Times New Roman"/>
          <w:b/>
          <w:sz w:val="24"/>
          <w:szCs w:val="24"/>
        </w:rPr>
        <w:t>6</w:t>
      </w:r>
      <w:r w:rsidRPr="0042132A">
        <w:rPr>
          <w:rFonts w:ascii="Times New Roman" w:hAnsi="Times New Roman"/>
          <w:b/>
          <w:sz w:val="24"/>
          <w:szCs w:val="24"/>
        </w:rPr>
        <w:t>.oktobrim</w:t>
      </w:r>
      <w:r w:rsidRPr="0042132A">
        <w:rPr>
          <w:rFonts w:ascii="Times New Roman" w:hAnsi="Times New Roman"/>
          <w:sz w:val="24"/>
          <w:szCs w:val="24"/>
        </w:rPr>
        <w:t xml:space="preserve">, ir tiesīgi iepazīties ar Nomas objektu vismaz 2 (divas) darba dienas iepriekš, piesakoties un saskaņojot to ar Gulbenes novada Sporta pārvaldes vadītāju </w:t>
      </w:r>
      <w:r w:rsidR="007A62E6" w:rsidRPr="0042132A">
        <w:rPr>
          <w:rFonts w:ascii="Times New Roman" w:hAnsi="Times New Roman"/>
          <w:sz w:val="24"/>
          <w:szCs w:val="24"/>
        </w:rPr>
        <w:t>Lauri Krēmer</w:t>
      </w:r>
      <w:r>
        <w:rPr>
          <w:rFonts w:ascii="Times New Roman" w:hAnsi="Times New Roman"/>
          <w:sz w:val="24"/>
          <w:szCs w:val="24"/>
        </w:rPr>
        <w:t>u</w:t>
      </w:r>
      <w:r w:rsidR="00611178" w:rsidRPr="0042132A">
        <w:rPr>
          <w:rFonts w:ascii="Times New Roman" w:hAnsi="Times New Roman"/>
          <w:sz w:val="24"/>
          <w:szCs w:val="24"/>
        </w:rPr>
        <w:t xml:space="preserve">, tālr. +371 </w:t>
      </w:r>
      <w:r w:rsidR="007A62E6" w:rsidRPr="0042132A">
        <w:rPr>
          <w:rFonts w:ascii="Times New Roman" w:hAnsi="Times New Roman"/>
          <w:sz w:val="24"/>
          <w:szCs w:val="24"/>
        </w:rPr>
        <w:t>28606972</w:t>
      </w:r>
      <w:r w:rsidR="0061117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AD7FC58"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00820701">
        <w:rPr>
          <w:rFonts w:ascii="Times New Roman" w:hAnsi="Times New Roman"/>
          <w:sz w:val="24"/>
          <w:szCs w:val="24"/>
        </w:rPr>
        <w:t xml:space="preserve"> </w:t>
      </w:r>
      <w:r w:rsidR="00820701" w:rsidRPr="00523CC5">
        <w:rPr>
          <w:rStyle w:val="Izclums"/>
          <w:rFonts w:ascii="Times New Roman" w:hAnsi="Times New Roman"/>
          <w:i w:val="0"/>
          <w:sz w:val="24"/>
          <w:szCs w:val="24"/>
        </w:rPr>
        <w:t>kafejnīcas</w:t>
      </w:r>
      <w:r w:rsidR="00820701" w:rsidRPr="00523CC5">
        <w:rPr>
          <w:rFonts w:ascii="Times New Roman" w:hAnsi="Times New Roman"/>
          <w:sz w:val="24"/>
          <w:szCs w:val="24"/>
        </w:rPr>
        <w:t xml:space="preserve"> ierīkošanai un ēdināšanas pakalpojumu nodrošināšanai</w:t>
      </w:r>
      <w:r w:rsidRPr="00523CC5">
        <w:rPr>
          <w:rFonts w:ascii="Times New Roman" w:hAnsi="Times New Roman"/>
          <w:sz w:val="24"/>
          <w:szCs w:val="24"/>
        </w:rPr>
        <w:t>.</w:t>
      </w:r>
      <w:r w:rsidR="003C2D68">
        <w:rPr>
          <w:rFonts w:ascii="Times New Roman" w:hAnsi="Times New Roman"/>
          <w:sz w:val="24"/>
          <w:szCs w:val="24"/>
        </w:rPr>
        <w:t xml:space="preserve"> </w:t>
      </w:r>
    </w:p>
    <w:p w14:paraId="514AE0DC" w14:textId="6DF240AE"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 xml:space="preserve">omas līgums) tiek slēgts uz termiņu – </w:t>
      </w:r>
      <w:r w:rsidR="00C97C42">
        <w:rPr>
          <w:rFonts w:ascii="Times New Roman" w:hAnsi="Times New Roman"/>
          <w:sz w:val="24"/>
          <w:szCs w:val="24"/>
        </w:rPr>
        <w:t>5</w:t>
      </w:r>
      <w:r w:rsidRPr="00D85DD6">
        <w:rPr>
          <w:rFonts w:ascii="Times New Roman" w:hAnsi="Times New Roman"/>
          <w:sz w:val="24"/>
          <w:szCs w:val="24"/>
        </w:rPr>
        <w:t xml:space="preserve"> (</w:t>
      </w:r>
      <w:r w:rsidR="00C97C42">
        <w:rPr>
          <w:rFonts w:ascii="Times New Roman" w:hAnsi="Times New Roman"/>
          <w:sz w:val="24"/>
          <w:szCs w:val="24"/>
        </w:rPr>
        <w:t>pieci</w:t>
      </w:r>
      <w:r w:rsidRPr="00D85DD6">
        <w:rPr>
          <w:rFonts w:ascii="Times New Roman" w:hAnsi="Times New Roman"/>
          <w:sz w:val="24"/>
          <w:szCs w:val="24"/>
        </w:rPr>
        <w:t>) gad</w:t>
      </w:r>
      <w:r w:rsidR="00C97C42">
        <w:rPr>
          <w:rFonts w:ascii="Times New Roman" w:hAnsi="Times New Roman"/>
          <w:sz w:val="24"/>
          <w:szCs w:val="24"/>
        </w:rPr>
        <w:t>i</w:t>
      </w:r>
      <w:r w:rsidRPr="00D85DD6">
        <w:rPr>
          <w:rFonts w:ascii="Times New Roman" w:hAnsi="Times New Roman"/>
          <w:sz w:val="24"/>
          <w:szCs w:val="24"/>
        </w:rPr>
        <w:t xml:space="preserve"> no </w:t>
      </w:r>
      <w:r w:rsidR="00167C0A">
        <w:rPr>
          <w:rFonts w:ascii="Times New Roman" w:hAnsi="Times New Roman"/>
          <w:sz w:val="24"/>
          <w:szCs w:val="24"/>
        </w:rPr>
        <w:t>N</w:t>
      </w:r>
      <w:r w:rsidRPr="00D85DD6">
        <w:rPr>
          <w:rFonts w:ascii="Times New Roman" w:hAnsi="Times New Roman"/>
          <w:sz w:val="24"/>
          <w:szCs w:val="24"/>
        </w:rPr>
        <w:t xml:space="preserve">omas līguma spēkā stāšanās dienas.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3188E704"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1B185D">
        <w:rPr>
          <w:rFonts w:ascii="Times New Roman" w:hAnsi="Times New Roman"/>
          <w:sz w:val="24"/>
          <w:szCs w:val="24"/>
        </w:rPr>
        <w:t>N</w:t>
      </w:r>
      <w:r w:rsidRPr="00D85DD6">
        <w:rPr>
          <w:rFonts w:ascii="Times New Roman" w:hAnsi="Times New Roman"/>
          <w:sz w:val="24"/>
          <w:szCs w:val="24"/>
        </w:rPr>
        <w:t>omas līguma spēkā stāšanās</w:t>
      </w:r>
      <w:r w:rsidRPr="00200835">
        <w:rPr>
          <w:rFonts w:ascii="Times New Roman" w:hAnsi="Times New Roman"/>
          <w:sz w:val="24"/>
          <w:szCs w:val="24"/>
        </w:rPr>
        <w:t xml:space="preserve"> </w:t>
      </w:r>
      <w:r w:rsidR="001B185D">
        <w:rPr>
          <w:rFonts w:ascii="Times New Roman" w:hAnsi="Times New Roman"/>
          <w:sz w:val="24"/>
          <w:szCs w:val="24"/>
        </w:rPr>
        <w:t>N</w:t>
      </w:r>
      <w:r w:rsidRPr="00D85DD6">
        <w:rPr>
          <w:rFonts w:ascii="Times New Roman" w:hAnsi="Times New Roman"/>
          <w:sz w:val="24"/>
          <w:szCs w:val="24"/>
        </w:rPr>
        <w:t xml:space="preserve">omas 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4325196E" w14:textId="0D85B051" w:rsidR="0042132A" w:rsidRPr="0042132A" w:rsidRDefault="0042132A"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9B6D1D">
        <w:rPr>
          <w:rFonts w:ascii="Times New Roman" w:hAnsi="Times New Roman"/>
          <w:sz w:val="24"/>
          <w:szCs w:val="24"/>
        </w:rPr>
        <w:t xml:space="preserve">Nomniekam patstāvīgi par saviem līdzekļiem jāveic </w:t>
      </w:r>
      <w:r>
        <w:rPr>
          <w:rFonts w:ascii="Times New Roman" w:hAnsi="Times New Roman"/>
          <w:sz w:val="24"/>
          <w:szCs w:val="24"/>
        </w:rPr>
        <w:t>Nomas objekta</w:t>
      </w:r>
      <w:r w:rsidRPr="009B6D1D">
        <w:rPr>
          <w:rFonts w:ascii="Times New Roman" w:hAnsi="Times New Roman"/>
          <w:sz w:val="24"/>
          <w:szCs w:val="24"/>
        </w:rPr>
        <w:t xml:space="preserve"> pielāgošana, tai skaitā arī papildus iekšējo inženierkomunikāciju</w:t>
      </w:r>
      <w:r>
        <w:rPr>
          <w:rFonts w:ascii="Times New Roman" w:hAnsi="Times New Roman"/>
          <w:sz w:val="24"/>
          <w:szCs w:val="24"/>
        </w:rPr>
        <w:t xml:space="preserve"> un cita veida inženiersistēmu</w:t>
      </w:r>
      <w:r w:rsidRPr="009B6D1D">
        <w:rPr>
          <w:rFonts w:ascii="Times New Roman" w:hAnsi="Times New Roman"/>
          <w:sz w:val="24"/>
          <w:szCs w:val="24"/>
        </w:rPr>
        <w:t xml:space="preserve"> izbūve, ja tāda ir nepieciešama, lai izmantotu Nomas objektu šo izsoles noteikumu </w:t>
      </w:r>
      <w:r>
        <w:rPr>
          <w:rFonts w:ascii="Times New Roman" w:hAnsi="Times New Roman"/>
          <w:sz w:val="24"/>
          <w:szCs w:val="24"/>
        </w:rPr>
        <w:t>3</w:t>
      </w:r>
      <w:r w:rsidRPr="009B6D1D">
        <w:rPr>
          <w:rFonts w:ascii="Times New Roman" w:hAnsi="Times New Roman"/>
          <w:sz w:val="24"/>
          <w:szCs w:val="24"/>
        </w:rPr>
        <w:t>.</w:t>
      </w:r>
      <w:r>
        <w:rPr>
          <w:rFonts w:ascii="Times New Roman" w:hAnsi="Times New Roman"/>
          <w:sz w:val="24"/>
          <w:szCs w:val="24"/>
        </w:rPr>
        <w:t>1</w:t>
      </w:r>
      <w:r w:rsidRPr="009B6D1D">
        <w:rPr>
          <w:rFonts w:ascii="Times New Roman" w:hAnsi="Times New Roman"/>
          <w:sz w:val="24"/>
          <w:szCs w:val="24"/>
        </w:rPr>
        <w:t xml:space="preserve">. </w:t>
      </w:r>
      <w:r>
        <w:rPr>
          <w:rFonts w:ascii="Times New Roman" w:hAnsi="Times New Roman"/>
          <w:sz w:val="24"/>
          <w:szCs w:val="24"/>
        </w:rPr>
        <w:t>punktā norādītajiem</w:t>
      </w:r>
      <w:r w:rsidRPr="009B6D1D">
        <w:rPr>
          <w:rFonts w:ascii="Times New Roman" w:hAnsi="Times New Roman"/>
          <w:sz w:val="24"/>
          <w:szCs w:val="24"/>
        </w:rPr>
        <w:t xml:space="preserve"> mērķi</w:t>
      </w:r>
      <w:r>
        <w:rPr>
          <w:rFonts w:ascii="Times New Roman" w:hAnsi="Times New Roman"/>
          <w:sz w:val="24"/>
          <w:szCs w:val="24"/>
        </w:rPr>
        <w:t>e</w:t>
      </w:r>
      <w:r w:rsidRPr="009B6D1D">
        <w:rPr>
          <w:rFonts w:ascii="Times New Roman" w:hAnsi="Times New Roman"/>
          <w:sz w:val="24"/>
          <w:szCs w:val="24"/>
        </w:rPr>
        <w:t xml:space="preserve">m. Darbi veicami atbilstoši Latvijas Republikā spēkā esošiem būvniecību regulējošiem normatīviem aktiem. Nomniekam ar Iznomātāju </w:t>
      </w:r>
      <w:r w:rsidR="00B00A01">
        <w:rPr>
          <w:rFonts w:ascii="Times New Roman" w:hAnsi="Times New Roman"/>
          <w:sz w:val="24"/>
          <w:szCs w:val="24"/>
        </w:rPr>
        <w:t xml:space="preserve">rakstveidā </w:t>
      </w:r>
      <w:r w:rsidRPr="009B6D1D">
        <w:rPr>
          <w:rFonts w:ascii="Times New Roman" w:hAnsi="Times New Roman"/>
          <w:sz w:val="24"/>
          <w:szCs w:val="24"/>
        </w:rPr>
        <w:t xml:space="preserve">jāsaskaņo </w:t>
      </w:r>
      <w:r>
        <w:rPr>
          <w:rFonts w:ascii="Times New Roman" w:hAnsi="Times New Roman"/>
          <w:sz w:val="24"/>
          <w:szCs w:val="24"/>
        </w:rPr>
        <w:t xml:space="preserve">būvdarbi, tajā skaitā </w:t>
      </w:r>
      <w:r w:rsidR="00B00A01" w:rsidRPr="009B6D1D">
        <w:rPr>
          <w:rFonts w:ascii="Times New Roman" w:hAnsi="Times New Roman"/>
          <w:sz w:val="24"/>
          <w:szCs w:val="24"/>
        </w:rPr>
        <w:t>Nomas objekt</w:t>
      </w:r>
      <w:r w:rsidRPr="009B6D1D">
        <w:rPr>
          <w:rFonts w:ascii="Times New Roman" w:hAnsi="Times New Roman"/>
          <w:sz w:val="24"/>
          <w:szCs w:val="24"/>
        </w:rPr>
        <w:t>ā iebūvējamās iekārtas un ierīces atbilstoši normatīvajam regulējumam.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3F532FDA" w14:textId="4BBF0815" w:rsidR="00CA6CE7" w:rsidRPr="00CA6CE7" w:rsidRDefault="00CA6CE7" w:rsidP="00CA6CE7">
      <w:pPr>
        <w:numPr>
          <w:ilvl w:val="1"/>
          <w:numId w:val="1"/>
        </w:numPr>
        <w:tabs>
          <w:tab w:val="left" w:pos="567"/>
        </w:tabs>
        <w:spacing w:after="0" w:line="240" w:lineRule="auto"/>
        <w:ind w:left="567" w:hanging="567"/>
        <w:contextualSpacing/>
        <w:jc w:val="both"/>
        <w:rPr>
          <w:rFonts w:ascii="Times New Roman" w:hAnsi="Times New Roman"/>
          <w:sz w:val="24"/>
          <w:szCs w:val="24"/>
        </w:rPr>
      </w:pPr>
      <w:r w:rsidRPr="00CA6CE7">
        <w:rPr>
          <w:rFonts w:ascii="Times New Roman" w:hAnsi="Times New Roman"/>
          <w:sz w:val="24"/>
          <w:szCs w:val="24"/>
        </w:rPr>
        <w:t xml:space="preserve">Nomniekam netiek piešķirta apbūves tiesība.  </w:t>
      </w:r>
    </w:p>
    <w:p w14:paraId="151890D6" w14:textId="44E8D1B1"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B00A01">
        <w:rPr>
          <w:rFonts w:ascii="Times New Roman" w:hAnsi="Times New Roman"/>
          <w:sz w:val="24"/>
          <w:szCs w:val="24"/>
        </w:rPr>
        <w:t>9</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34196D22" w14:textId="77777777" w:rsidR="003C2D68" w:rsidRDefault="003C2D68" w:rsidP="00663BFC">
      <w:pPr>
        <w:pStyle w:val="Sarakstarindkopa"/>
        <w:tabs>
          <w:tab w:val="left" w:pos="567"/>
        </w:tabs>
        <w:spacing w:after="0" w:line="240" w:lineRule="auto"/>
        <w:ind w:left="567"/>
        <w:jc w:val="both"/>
        <w:rPr>
          <w:rFonts w:ascii="Times New Roman" w:hAnsi="Times New Roman"/>
          <w:sz w:val="24"/>
          <w:szCs w:val="24"/>
        </w:rPr>
      </w:pPr>
    </w:p>
    <w:p w14:paraId="4E7C7B75" w14:textId="77777777" w:rsidR="003C2D68" w:rsidRDefault="003C2D68"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218C91F9"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2024. gada</w:t>
      </w:r>
      <w:r w:rsidRPr="00D85DD6">
        <w:rPr>
          <w:rFonts w:ascii="Times New Roman" w:hAnsi="Times New Roman"/>
          <w:b/>
          <w:color w:val="FF0000"/>
          <w:sz w:val="24"/>
          <w:szCs w:val="24"/>
        </w:rPr>
        <w:t xml:space="preserve"> </w:t>
      </w:r>
      <w:r w:rsidR="00D15B60">
        <w:rPr>
          <w:rFonts w:ascii="Times New Roman" w:hAnsi="Times New Roman"/>
          <w:b/>
          <w:sz w:val="24"/>
          <w:szCs w:val="24"/>
        </w:rPr>
        <w:t>17.oktobrī</w:t>
      </w:r>
      <w:r w:rsidRPr="005F125F">
        <w:rPr>
          <w:rFonts w:ascii="Times New Roman" w:hAnsi="Times New Roman"/>
          <w:b/>
          <w:sz w:val="24"/>
          <w:szCs w:val="24"/>
        </w:rPr>
        <w:t xml:space="preserve"> </w:t>
      </w:r>
      <w:r w:rsidRPr="00D85DD6">
        <w:rPr>
          <w:rFonts w:ascii="Times New Roman" w:hAnsi="Times New Roman"/>
          <w:b/>
          <w:sz w:val="24"/>
          <w:szCs w:val="24"/>
        </w:rPr>
        <w:t>plkst. </w:t>
      </w:r>
      <w:r w:rsidR="00D15B60">
        <w:rPr>
          <w:rFonts w:ascii="Times New Roman" w:hAnsi="Times New Roman"/>
          <w:b/>
          <w:sz w:val="24"/>
          <w:szCs w:val="24"/>
        </w:rPr>
        <w:t>9</w:t>
      </w:r>
      <w:r w:rsidRPr="00D85DD6">
        <w:rPr>
          <w:rFonts w:ascii="Times New Roman" w:hAnsi="Times New Roman"/>
          <w:b/>
          <w:sz w:val="24"/>
          <w:szCs w:val="24"/>
        </w:rPr>
        <w:t>.</w:t>
      </w:r>
      <w:r w:rsidR="002A553F">
        <w:rPr>
          <w:rFonts w:ascii="Times New Roman" w:hAnsi="Times New Roman"/>
          <w:b/>
          <w:sz w:val="24"/>
          <w:szCs w:val="24"/>
        </w:rPr>
        <w:t>3</w:t>
      </w:r>
      <w:r w:rsidRPr="00D85DD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156B5782"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 xml:space="preserve">līdz 2024. gada </w:t>
      </w:r>
      <w:r w:rsidR="009E603C">
        <w:rPr>
          <w:rFonts w:ascii="Times New Roman" w:hAnsi="Times New Roman"/>
          <w:b/>
          <w:bCs/>
          <w:sz w:val="24"/>
          <w:szCs w:val="24"/>
        </w:rPr>
        <w:t>1</w:t>
      </w:r>
      <w:r w:rsidR="000D597B">
        <w:rPr>
          <w:rFonts w:ascii="Times New Roman" w:hAnsi="Times New Roman"/>
          <w:b/>
          <w:bCs/>
          <w:sz w:val="24"/>
          <w:szCs w:val="24"/>
        </w:rPr>
        <w:t>6</w:t>
      </w:r>
      <w:r w:rsidR="009E603C">
        <w:rPr>
          <w:rFonts w:ascii="Times New Roman" w:hAnsi="Times New Roman"/>
          <w:b/>
          <w:bCs/>
          <w:sz w:val="24"/>
          <w:szCs w:val="24"/>
        </w:rPr>
        <w:t>.oktobra</w:t>
      </w:r>
      <w:r w:rsidRPr="005F125F">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427EB53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w:t>
      </w:r>
      <w:r w:rsidRPr="00D85DD6">
        <w:rPr>
          <w:rFonts w:ascii="Times New Roman" w:hAnsi="Times New Roman"/>
          <w:sz w:val="24"/>
          <w:szCs w:val="24"/>
        </w:rPr>
        <w:lastRenderedPageBreak/>
        <w:t xml:space="preserve">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4A2A1BFC"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400BE">
        <w:rPr>
          <w:rFonts w:ascii="Times New Roman" w:hAnsi="Times New Roman"/>
          <w:b/>
          <w:sz w:val="24"/>
          <w:szCs w:val="24"/>
        </w:rPr>
        <w:t>67,72</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C400BE">
        <w:rPr>
          <w:rFonts w:ascii="Times New Roman" w:hAnsi="Times New Roman"/>
          <w:b/>
          <w:sz w:val="24"/>
          <w:szCs w:val="24"/>
        </w:rPr>
        <w:t>sešdesmit septiņi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C400BE">
        <w:rPr>
          <w:rFonts w:ascii="Times New Roman" w:hAnsi="Times New Roman"/>
          <w:b/>
          <w:sz w:val="24"/>
          <w:szCs w:val="24"/>
        </w:rPr>
        <w:t>septiņdesmit divi</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76A279EF"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14106C" w:rsidRPr="0014106C">
        <w:rPr>
          <w:rFonts w:ascii="Times New Roman" w:hAnsi="Times New Roman"/>
          <w:b/>
          <w:bCs/>
          <w:sz w:val="24"/>
          <w:szCs w:val="24"/>
        </w:rPr>
        <w:t>3</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14106C">
        <w:rPr>
          <w:rFonts w:ascii="Times New Roman" w:hAnsi="Times New Roman"/>
          <w:b/>
          <w:sz w:val="24"/>
          <w:szCs w:val="24"/>
        </w:rPr>
        <w:t>trīs</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434D713D"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6B03A3E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w:t>
      </w:r>
      <w:r w:rsidRPr="00D85DD6">
        <w:rPr>
          <w:rFonts w:eastAsia="Times New Roman"/>
          <w:color w:val="auto"/>
        </w:rPr>
        <w:lastRenderedPageBreak/>
        <w:t xml:space="preserve">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28416DF5" w14:textId="4167FF4D" w:rsidR="006A3EBB"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71240EB7" w14:textId="77777777" w:rsidR="006A3EBB"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lastRenderedPageBreak/>
        <w:t>Pielikumi</w:t>
      </w:r>
    </w:p>
    <w:p w14:paraId="5EB4230C" w14:textId="77777777" w:rsidR="006A3EBB" w:rsidRPr="00D85DD6" w:rsidRDefault="006A3EBB" w:rsidP="006A3EBB">
      <w:pPr>
        <w:pStyle w:val="Default"/>
        <w:contextualSpacing/>
      </w:pPr>
    </w:p>
    <w:p w14:paraId="3FB1636B" w14:textId="3950280F"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416856">
    <w:abstractNumId w:val="7"/>
  </w:num>
  <w:num w:numId="2" w16cid:durableId="713577741">
    <w:abstractNumId w:val="1"/>
  </w:num>
  <w:num w:numId="3" w16cid:durableId="1702432168">
    <w:abstractNumId w:val="0"/>
  </w:num>
  <w:num w:numId="4" w16cid:durableId="496381177">
    <w:abstractNumId w:val="6"/>
  </w:num>
  <w:num w:numId="5" w16cid:durableId="2081101244">
    <w:abstractNumId w:val="3"/>
  </w:num>
  <w:num w:numId="6" w16cid:durableId="1520703620">
    <w:abstractNumId w:val="2"/>
  </w:num>
  <w:num w:numId="7" w16cid:durableId="138612713">
    <w:abstractNumId w:val="8"/>
  </w:num>
  <w:num w:numId="8" w16cid:durableId="1815640509">
    <w:abstractNumId w:val="5"/>
  </w:num>
  <w:num w:numId="9" w16cid:durableId="1566867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6509D"/>
    <w:rsid w:val="00093E30"/>
    <w:rsid w:val="00096818"/>
    <w:rsid w:val="000A63AC"/>
    <w:rsid w:val="000C2222"/>
    <w:rsid w:val="000C24A8"/>
    <w:rsid w:val="000D597B"/>
    <w:rsid w:val="000F0D19"/>
    <w:rsid w:val="0014106C"/>
    <w:rsid w:val="00152CC6"/>
    <w:rsid w:val="00167C0A"/>
    <w:rsid w:val="001722D5"/>
    <w:rsid w:val="00191382"/>
    <w:rsid w:val="00195A42"/>
    <w:rsid w:val="001B185D"/>
    <w:rsid w:val="00200835"/>
    <w:rsid w:val="002040F3"/>
    <w:rsid w:val="00204369"/>
    <w:rsid w:val="002836AA"/>
    <w:rsid w:val="002A553F"/>
    <w:rsid w:val="002B2820"/>
    <w:rsid w:val="002B538B"/>
    <w:rsid w:val="002E5551"/>
    <w:rsid w:val="00314399"/>
    <w:rsid w:val="003711A2"/>
    <w:rsid w:val="00385010"/>
    <w:rsid w:val="003B30ED"/>
    <w:rsid w:val="003C2D68"/>
    <w:rsid w:val="003E700E"/>
    <w:rsid w:val="0042132A"/>
    <w:rsid w:val="0043332D"/>
    <w:rsid w:val="00434EFC"/>
    <w:rsid w:val="00447205"/>
    <w:rsid w:val="004A19DD"/>
    <w:rsid w:val="004A6970"/>
    <w:rsid w:val="004B5C7F"/>
    <w:rsid w:val="004B6C85"/>
    <w:rsid w:val="004C6B01"/>
    <w:rsid w:val="005215EE"/>
    <w:rsid w:val="00523CC5"/>
    <w:rsid w:val="00525699"/>
    <w:rsid w:val="00557BE6"/>
    <w:rsid w:val="005A1EF5"/>
    <w:rsid w:val="005A7ED5"/>
    <w:rsid w:val="005B2D46"/>
    <w:rsid w:val="005B37E6"/>
    <w:rsid w:val="005B559C"/>
    <w:rsid w:val="005D2E67"/>
    <w:rsid w:val="005E2A2E"/>
    <w:rsid w:val="005E719F"/>
    <w:rsid w:val="005F125F"/>
    <w:rsid w:val="005F34D3"/>
    <w:rsid w:val="005F5FB2"/>
    <w:rsid w:val="006108F4"/>
    <w:rsid w:val="00611178"/>
    <w:rsid w:val="0063642C"/>
    <w:rsid w:val="0066072C"/>
    <w:rsid w:val="00663B7F"/>
    <w:rsid w:val="00663BFC"/>
    <w:rsid w:val="0069406A"/>
    <w:rsid w:val="00697408"/>
    <w:rsid w:val="006A3EBB"/>
    <w:rsid w:val="006B1DB9"/>
    <w:rsid w:val="006E0407"/>
    <w:rsid w:val="007177B9"/>
    <w:rsid w:val="00730277"/>
    <w:rsid w:val="007758ED"/>
    <w:rsid w:val="007807E2"/>
    <w:rsid w:val="007A5ACC"/>
    <w:rsid w:val="007A62E6"/>
    <w:rsid w:val="007B1D5F"/>
    <w:rsid w:val="007F52B2"/>
    <w:rsid w:val="0080156D"/>
    <w:rsid w:val="00820701"/>
    <w:rsid w:val="008274AA"/>
    <w:rsid w:val="00880140"/>
    <w:rsid w:val="008806C8"/>
    <w:rsid w:val="008A24E5"/>
    <w:rsid w:val="008B29A5"/>
    <w:rsid w:val="008D5512"/>
    <w:rsid w:val="008E3152"/>
    <w:rsid w:val="008F6D3C"/>
    <w:rsid w:val="0090099B"/>
    <w:rsid w:val="00913121"/>
    <w:rsid w:val="00947F1A"/>
    <w:rsid w:val="00951112"/>
    <w:rsid w:val="00982EB2"/>
    <w:rsid w:val="009D0BA5"/>
    <w:rsid w:val="009E2CA4"/>
    <w:rsid w:val="009E603C"/>
    <w:rsid w:val="009E7B7C"/>
    <w:rsid w:val="009F7ED5"/>
    <w:rsid w:val="00A373B5"/>
    <w:rsid w:val="00A43D22"/>
    <w:rsid w:val="00A44E5E"/>
    <w:rsid w:val="00A5576E"/>
    <w:rsid w:val="00A60525"/>
    <w:rsid w:val="00A7601D"/>
    <w:rsid w:val="00A93BB8"/>
    <w:rsid w:val="00AF6DF5"/>
    <w:rsid w:val="00B00A01"/>
    <w:rsid w:val="00B02E8D"/>
    <w:rsid w:val="00B326FD"/>
    <w:rsid w:val="00B43837"/>
    <w:rsid w:val="00B76EC3"/>
    <w:rsid w:val="00B7777A"/>
    <w:rsid w:val="00BB2594"/>
    <w:rsid w:val="00BC0C6F"/>
    <w:rsid w:val="00BD2226"/>
    <w:rsid w:val="00C00D0B"/>
    <w:rsid w:val="00C400BE"/>
    <w:rsid w:val="00C5335D"/>
    <w:rsid w:val="00C67D21"/>
    <w:rsid w:val="00C748C5"/>
    <w:rsid w:val="00C84063"/>
    <w:rsid w:val="00C97C42"/>
    <w:rsid w:val="00CA6CE7"/>
    <w:rsid w:val="00CD3CCA"/>
    <w:rsid w:val="00D03F0F"/>
    <w:rsid w:val="00D15B60"/>
    <w:rsid w:val="00D33C71"/>
    <w:rsid w:val="00D40A22"/>
    <w:rsid w:val="00D60CD0"/>
    <w:rsid w:val="00D76CF5"/>
    <w:rsid w:val="00D908D8"/>
    <w:rsid w:val="00D93B5B"/>
    <w:rsid w:val="00DA1B03"/>
    <w:rsid w:val="00DB10CD"/>
    <w:rsid w:val="00DF1B4F"/>
    <w:rsid w:val="00DF6D6E"/>
    <w:rsid w:val="00E104E3"/>
    <w:rsid w:val="00E272C2"/>
    <w:rsid w:val="00E557D6"/>
    <w:rsid w:val="00E777C2"/>
    <w:rsid w:val="00F07B98"/>
    <w:rsid w:val="00F21BC0"/>
    <w:rsid w:val="00F3419D"/>
    <w:rsid w:val="00F35BE3"/>
    <w:rsid w:val="00F41995"/>
    <w:rsid w:val="00F779B4"/>
    <w:rsid w:val="00F84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17449</Words>
  <Characters>9947</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cp:revision>
  <dcterms:created xsi:type="dcterms:W3CDTF">2024-10-04T03:41:00Z</dcterms:created>
  <dcterms:modified xsi:type="dcterms:W3CDTF">2024-10-08T06:47:00Z</dcterms:modified>
</cp:coreProperties>
</file>