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
        <w:tblW w:w="9354" w:type="dxa"/>
        <w:tblBorders>
          <w:top w:val="nil"/>
          <w:left w:val="nil"/>
          <w:bottom w:val="single" w:sz="4" w:space="0" w:color="000000"/>
          <w:right w:val="nil"/>
          <w:insideH w:val="nil"/>
          <w:insideV w:val="nil"/>
        </w:tblBorders>
        <w:tblLayout w:type="fixed"/>
        <w:tblLook w:val="0400" w:firstRow="0" w:lastRow="0" w:firstColumn="0" w:lastColumn="0" w:noHBand="0" w:noVBand="1"/>
      </w:tblPr>
      <w:tblGrid>
        <w:gridCol w:w="9354"/>
      </w:tblGrid>
      <w:tr w:rsidR="009D437D" w14:paraId="675B461F" w14:textId="77777777">
        <w:tc>
          <w:tcPr>
            <w:tcW w:w="9354" w:type="dxa"/>
          </w:tcPr>
          <w:p w14:paraId="675B461E" w14:textId="77777777" w:rsidR="009D437D" w:rsidRDefault="00793E0A">
            <w:pPr>
              <w:jc w:val="center"/>
            </w:pPr>
            <w:r>
              <w:rPr>
                <w:noProof/>
              </w:rPr>
              <w:drawing>
                <wp:inline distT="0" distB="0" distL="0" distR="0" wp14:anchorId="675B463F" wp14:editId="675B4640">
                  <wp:extent cx="619125" cy="68580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619125" cy="685800"/>
                          </a:xfrm>
                          <a:prstGeom prst="rect">
                            <a:avLst/>
                          </a:prstGeom>
                          <a:ln/>
                        </pic:spPr>
                      </pic:pic>
                    </a:graphicData>
                  </a:graphic>
                </wp:inline>
              </w:drawing>
            </w:r>
          </w:p>
        </w:tc>
      </w:tr>
      <w:tr w:rsidR="009D437D" w14:paraId="675B4621" w14:textId="77777777">
        <w:tc>
          <w:tcPr>
            <w:tcW w:w="9354" w:type="dxa"/>
          </w:tcPr>
          <w:p w14:paraId="675B4620" w14:textId="77777777" w:rsidR="009D437D" w:rsidRDefault="00793E0A">
            <w:pPr>
              <w:jc w:val="center"/>
            </w:pPr>
            <w:r>
              <w:rPr>
                <w:rFonts w:ascii="Times New Roman" w:hAnsi="Times New Roman" w:cs="Times New Roman"/>
                <w:b/>
                <w:sz w:val="28"/>
                <w:szCs w:val="28"/>
              </w:rPr>
              <w:t>GULBENES NOVADA PAŠVALDĪBA</w:t>
            </w:r>
          </w:p>
        </w:tc>
      </w:tr>
      <w:tr w:rsidR="009D437D" w14:paraId="675B4623" w14:textId="77777777">
        <w:tc>
          <w:tcPr>
            <w:tcW w:w="9354" w:type="dxa"/>
          </w:tcPr>
          <w:p w14:paraId="675B4622" w14:textId="77777777" w:rsidR="009D437D" w:rsidRDefault="00793E0A">
            <w:pPr>
              <w:jc w:val="center"/>
            </w:pPr>
            <w:r>
              <w:rPr>
                <w:rFonts w:ascii="Times New Roman" w:hAnsi="Times New Roman" w:cs="Times New Roman"/>
                <w:sz w:val="24"/>
                <w:szCs w:val="24"/>
              </w:rPr>
              <w:t>Reģ.Nr.90009116327</w:t>
            </w:r>
          </w:p>
        </w:tc>
      </w:tr>
      <w:tr w:rsidR="009D437D" w14:paraId="675B4625" w14:textId="77777777">
        <w:tc>
          <w:tcPr>
            <w:tcW w:w="9354" w:type="dxa"/>
          </w:tcPr>
          <w:p w14:paraId="675B4624" w14:textId="77777777" w:rsidR="009D437D" w:rsidRDefault="00793E0A" w:rsidP="006C26B8">
            <w:pPr>
              <w:jc w:val="center"/>
            </w:pPr>
            <w:r>
              <w:rPr>
                <w:rFonts w:ascii="Times New Roman" w:hAnsi="Times New Roman" w:cs="Times New Roman"/>
                <w:sz w:val="24"/>
                <w:szCs w:val="24"/>
              </w:rPr>
              <w:t>Ābeļu iela 2, Gulbene, Gulbenes nov., LV-4401</w:t>
            </w:r>
          </w:p>
        </w:tc>
      </w:tr>
      <w:tr w:rsidR="009D437D" w14:paraId="675B4627" w14:textId="77777777">
        <w:tc>
          <w:tcPr>
            <w:tcW w:w="9354" w:type="dxa"/>
          </w:tcPr>
          <w:p w14:paraId="675B4626" w14:textId="77777777" w:rsidR="009D437D" w:rsidRDefault="00793E0A" w:rsidP="006C26B8">
            <w:pPr>
              <w:jc w:val="center"/>
            </w:pPr>
            <w:r>
              <w:rPr>
                <w:rFonts w:ascii="Times New Roman" w:hAnsi="Times New Roman" w:cs="Times New Roman"/>
                <w:sz w:val="24"/>
                <w:szCs w:val="24"/>
              </w:rPr>
              <w:t>Tālrunis 64497710, mob.26595362, e-pasts: dome@gulbene.lv, www.gulbene.lv</w:t>
            </w:r>
          </w:p>
        </w:tc>
      </w:tr>
    </w:tbl>
    <w:p w14:paraId="675B4628" w14:textId="77777777" w:rsidR="009D437D" w:rsidRDefault="00793E0A" w:rsidP="006C26B8">
      <w:pPr>
        <w:pBdr>
          <w:top w:val="nil"/>
          <w:left w:val="nil"/>
          <w:bottom w:val="nil"/>
          <w:right w:val="nil"/>
          <w:between w:val="nil"/>
        </w:pBdr>
        <w:jc w:val="center"/>
        <w:rPr>
          <w:rFonts w:ascii="Times New Roman" w:hAnsi="Times New Roman" w:cs="Times New Roman"/>
          <w:b/>
          <w:color w:val="000000"/>
          <w:sz w:val="24"/>
          <w:szCs w:val="24"/>
        </w:rPr>
      </w:pPr>
      <w:r>
        <w:rPr>
          <w:rFonts w:ascii="Times New Roman" w:hAnsi="Times New Roman" w:cs="Times New Roman"/>
          <w:b/>
          <w:color w:val="000000"/>
          <w:sz w:val="24"/>
          <w:szCs w:val="24"/>
        </w:rPr>
        <w:t>GULBENES NOVADA PAŠVALDĪBAS DOMES LĒMUMS</w:t>
      </w:r>
    </w:p>
    <w:p w14:paraId="675B4629" w14:textId="77777777" w:rsidR="009D437D" w:rsidRDefault="00793E0A" w:rsidP="006C26B8">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Gulbenē</w:t>
      </w:r>
    </w:p>
    <w:tbl>
      <w:tblPr>
        <w:tblStyle w:val="a0"/>
        <w:tblW w:w="9354" w:type="dxa"/>
        <w:tblBorders>
          <w:top w:val="nil"/>
          <w:left w:val="nil"/>
          <w:bottom w:val="nil"/>
          <w:right w:val="nil"/>
          <w:insideH w:val="nil"/>
          <w:insideV w:val="nil"/>
        </w:tblBorders>
        <w:tblLayout w:type="fixed"/>
        <w:tblLook w:val="0400" w:firstRow="0" w:lastRow="0" w:firstColumn="0" w:lastColumn="0" w:noHBand="0" w:noVBand="1"/>
      </w:tblPr>
      <w:tblGrid>
        <w:gridCol w:w="4676"/>
        <w:gridCol w:w="4678"/>
      </w:tblGrid>
      <w:tr w:rsidR="009D437D" w14:paraId="675B462C" w14:textId="77777777">
        <w:tc>
          <w:tcPr>
            <w:tcW w:w="4676" w:type="dxa"/>
          </w:tcPr>
          <w:p w14:paraId="675B462A" w14:textId="77777777" w:rsidR="009D437D" w:rsidRDefault="00793E0A">
            <w:pPr>
              <w:rPr>
                <w:rFonts w:ascii="Times New Roman" w:hAnsi="Times New Roman" w:cs="Times New Roman"/>
                <w:b/>
                <w:sz w:val="24"/>
                <w:szCs w:val="24"/>
              </w:rPr>
            </w:pPr>
            <w:r>
              <w:rPr>
                <w:rFonts w:ascii="Times New Roman" w:hAnsi="Times New Roman" w:cs="Times New Roman"/>
                <w:b/>
                <w:sz w:val="24"/>
                <w:szCs w:val="24"/>
              </w:rPr>
              <w:t>2025.gada 30.janvārī</w:t>
            </w:r>
          </w:p>
        </w:tc>
        <w:tc>
          <w:tcPr>
            <w:tcW w:w="4678" w:type="dxa"/>
          </w:tcPr>
          <w:p w14:paraId="675B462B" w14:textId="3A0A5CF4" w:rsidR="009D437D" w:rsidRDefault="00793E0A">
            <w:pPr>
              <w:rPr>
                <w:rFonts w:ascii="Times New Roman" w:hAnsi="Times New Roman" w:cs="Times New Roman"/>
                <w:b/>
                <w:sz w:val="24"/>
                <w:szCs w:val="24"/>
              </w:rPr>
            </w:pPr>
            <w:r>
              <w:rPr>
                <w:rFonts w:ascii="Times New Roman" w:hAnsi="Times New Roman" w:cs="Times New Roman"/>
                <w:b/>
                <w:sz w:val="24"/>
                <w:szCs w:val="24"/>
              </w:rPr>
              <w:t xml:space="preserve">                                Nr. GND/2025/</w:t>
            </w:r>
            <w:r w:rsidR="00EB556F">
              <w:rPr>
                <w:rFonts w:ascii="Times New Roman" w:hAnsi="Times New Roman" w:cs="Times New Roman"/>
                <w:b/>
                <w:sz w:val="24"/>
                <w:szCs w:val="24"/>
              </w:rPr>
              <w:t>13</w:t>
            </w:r>
          </w:p>
        </w:tc>
      </w:tr>
      <w:tr w:rsidR="009D437D" w14:paraId="675B462F" w14:textId="77777777">
        <w:tc>
          <w:tcPr>
            <w:tcW w:w="4676" w:type="dxa"/>
          </w:tcPr>
          <w:p w14:paraId="675B462D" w14:textId="77777777" w:rsidR="009D437D" w:rsidRDefault="009D437D">
            <w:pPr>
              <w:rPr>
                <w:rFonts w:ascii="Times New Roman" w:hAnsi="Times New Roman" w:cs="Times New Roman"/>
                <w:sz w:val="24"/>
                <w:szCs w:val="24"/>
              </w:rPr>
            </w:pPr>
          </w:p>
        </w:tc>
        <w:tc>
          <w:tcPr>
            <w:tcW w:w="4678" w:type="dxa"/>
          </w:tcPr>
          <w:p w14:paraId="675B462E" w14:textId="11A60CDF" w:rsidR="009D437D" w:rsidRDefault="00793E0A">
            <w:pPr>
              <w:rPr>
                <w:rFonts w:ascii="Times New Roman" w:hAnsi="Times New Roman" w:cs="Times New Roman"/>
                <w:b/>
                <w:sz w:val="24"/>
                <w:szCs w:val="24"/>
              </w:rPr>
            </w:pPr>
            <w:r>
              <w:rPr>
                <w:rFonts w:ascii="Times New Roman" w:hAnsi="Times New Roman" w:cs="Times New Roman"/>
                <w:b/>
                <w:sz w:val="24"/>
                <w:szCs w:val="24"/>
              </w:rPr>
              <w:t xml:space="preserve">                                (protokols Nr.</w:t>
            </w:r>
            <w:r w:rsidR="00EB556F">
              <w:rPr>
                <w:rFonts w:ascii="Times New Roman" w:hAnsi="Times New Roman" w:cs="Times New Roman"/>
                <w:b/>
                <w:sz w:val="24"/>
                <w:szCs w:val="24"/>
              </w:rPr>
              <w:t>3</w:t>
            </w:r>
            <w:r>
              <w:rPr>
                <w:rFonts w:ascii="Times New Roman" w:hAnsi="Times New Roman" w:cs="Times New Roman"/>
                <w:b/>
                <w:sz w:val="24"/>
                <w:szCs w:val="24"/>
              </w:rPr>
              <w:t xml:space="preserve">; </w:t>
            </w:r>
            <w:r w:rsidR="00EB556F">
              <w:rPr>
                <w:rFonts w:ascii="Times New Roman" w:hAnsi="Times New Roman" w:cs="Times New Roman"/>
                <w:b/>
                <w:sz w:val="24"/>
                <w:szCs w:val="24"/>
              </w:rPr>
              <w:t>7</w:t>
            </w:r>
            <w:r>
              <w:rPr>
                <w:rFonts w:ascii="Times New Roman" w:hAnsi="Times New Roman" w:cs="Times New Roman"/>
                <w:b/>
                <w:sz w:val="24"/>
                <w:szCs w:val="24"/>
              </w:rPr>
              <w:t>.p.)</w:t>
            </w:r>
          </w:p>
        </w:tc>
      </w:tr>
    </w:tbl>
    <w:p w14:paraId="675B4630" w14:textId="77777777" w:rsidR="009D437D" w:rsidRDefault="009D437D">
      <w:pPr>
        <w:rPr>
          <w:rFonts w:ascii="Times New Roman" w:hAnsi="Times New Roman" w:cs="Times New Roman"/>
          <w:sz w:val="24"/>
          <w:szCs w:val="24"/>
        </w:rPr>
      </w:pPr>
    </w:p>
    <w:p w14:paraId="675B4631" w14:textId="77777777" w:rsidR="009D437D" w:rsidRDefault="00793E0A">
      <w:pPr>
        <w:pBdr>
          <w:top w:val="nil"/>
          <w:left w:val="nil"/>
          <w:bottom w:val="nil"/>
          <w:right w:val="nil"/>
          <w:between w:val="nil"/>
        </w:pBdr>
        <w:spacing w:after="240"/>
        <w:ind w:firstLine="567"/>
        <w:jc w:val="center"/>
        <w:rPr>
          <w:rFonts w:ascii="Times New Roman" w:hAnsi="Times New Roman" w:cs="Times New Roman"/>
          <w:b/>
          <w:color w:val="000000"/>
          <w:sz w:val="24"/>
          <w:szCs w:val="24"/>
        </w:rPr>
      </w:pPr>
      <w:r>
        <w:rPr>
          <w:rFonts w:ascii="Times New Roman" w:hAnsi="Times New Roman" w:cs="Times New Roman"/>
          <w:b/>
          <w:color w:val="000000"/>
          <w:sz w:val="24"/>
          <w:szCs w:val="24"/>
        </w:rPr>
        <w:t>Par nekustamā īpašuma Daukstu pagastā ar nosaukumu “</w:t>
      </w:r>
      <w:proofErr w:type="spellStart"/>
      <w:r>
        <w:rPr>
          <w:rFonts w:ascii="Times New Roman" w:hAnsi="Times New Roman" w:cs="Times New Roman"/>
          <w:b/>
          <w:color w:val="000000"/>
          <w:sz w:val="24"/>
          <w:szCs w:val="24"/>
        </w:rPr>
        <w:t>Krapas</w:t>
      </w:r>
      <w:proofErr w:type="spellEnd"/>
      <w:r>
        <w:rPr>
          <w:rFonts w:ascii="Times New Roman" w:hAnsi="Times New Roman" w:cs="Times New Roman"/>
          <w:b/>
          <w:color w:val="000000"/>
          <w:sz w:val="24"/>
          <w:szCs w:val="24"/>
        </w:rPr>
        <w:t xml:space="preserve"> centrs”</w:t>
      </w:r>
      <w:r>
        <w:rPr>
          <w:rFonts w:ascii="Times New Roman" w:hAnsi="Times New Roman" w:cs="Times New Roman"/>
          <w:b/>
          <w:sz w:val="24"/>
          <w:szCs w:val="24"/>
        </w:rPr>
        <w:t xml:space="preserve"> </w:t>
      </w:r>
      <w:r>
        <w:rPr>
          <w:rFonts w:ascii="Times New Roman" w:hAnsi="Times New Roman" w:cs="Times New Roman"/>
          <w:b/>
          <w:color w:val="000000"/>
          <w:sz w:val="24"/>
          <w:szCs w:val="24"/>
        </w:rPr>
        <w:t>atsavināšanu</w:t>
      </w:r>
    </w:p>
    <w:p w14:paraId="675B4632" w14:textId="77777777" w:rsidR="009D437D" w:rsidRDefault="00793E0A">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Izskatīts </w:t>
      </w:r>
      <w:r>
        <w:rPr>
          <w:rFonts w:ascii="Times New Roman" w:hAnsi="Times New Roman" w:cs="Times New Roman"/>
          <w:b/>
          <w:sz w:val="24"/>
          <w:szCs w:val="24"/>
        </w:rPr>
        <w:t>Gulbenes novada Daukstu pagasta pārvaldes</w:t>
      </w:r>
      <w:r>
        <w:rPr>
          <w:rFonts w:ascii="Times New Roman" w:hAnsi="Times New Roman" w:cs="Times New Roman"/>
          <w:sz w:val="24"/>
          <w:szCs w:val="24"/>
        </w:rPr>
        <w:t>, reģistrācijas Nr.40900015412, juridiskā adrese: Dārza iela 10, Stari, Daukstu pagasts, Gulbenes novads, LV-4417, 2024.gada 16.septembra iesniegums Nr. DA/4.2/24/55 (Gulbenes novada pašvaldībā saņemts 2024.gada 16.septembrī un reģistrēts ar Nr. GND/5.13.2/24/1826-G), ar lūgumu nodot atsavināšanai Gulbenes novada pašvaldībai piederošo nekustamo īpašumu Daukstu pagastā ar nosaukumu “</w:t>
      </w:r>
      <w:proofErr w:type="spellStart"/>
      <w:r>
        <w:rPr>
          <w:rFonts w:ascii="Times New Roman" w:hAnsi="Times New Roman" w:cs="Times New Roman"/>
          <w:sz w:val="24"/>
          <w:szCs w:val="24"/>
        </w:rPr>
        <w:t>Krapas</w:t>
      </w:r>
      <w:proofErr w:type="spellEnd"/>
      <w:r>
        <w:rPr>
          <w:rFonts w:ascii="Times New Roman" w:hAnsi="Times New Roman" w:cs="Times New Roman"/>
          <w:sz w:val="24"/>
          <w:szCs w:val="24"/>
        </w:rPr>
        <w:t xml:space="preserve"> centrs”, ar kadastra numuru 5048 002 0276, kas sastāv no zemes vienības ar kadastra apzīmējumu 50480020276, 3,7 ha (pirms kadastrālās uzmērīšanas) platībā. Iesniegumā norādīts, ka Gulbenes novada Daukstu pagasta pārvalde ir veikusi izvērtēšanu un secinājusi, ka minētais nekustamais īpašums nav nepieciešams pašvaldības autonomo funkciju veikšanai.</w:t>
      </w:r>
    </w:p>
    <w:p w14:paraId="675B4633" w14:textId="4AF786E1" w:rsidR="009D437D" w:rsidRDefault="00793E0A">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Atbilstoši Gulbenes novada pašvaldības domes 2024.gada 30.maija lēmumam Nr. GND/2024/282 “Par Gulbenes novada pagastu pārvalžu reorganizāciju, izveidojot pagastu apvienības pārvaldes” (protokols Nr. 11; 51. p), veiktās Gulbenes novada pašvaldības pagastu pārvalžu reorganizācijas rezultātā ar 2024.gada 1.oktobri izveidota Daukstu, Galgauskas, Jaungulbenes un Līgo pagastu apvienības pārvalde, reģistrācijas numurs 40900041186, kas ir Gulbenes novada Daukstu pagasta pārvaldes tiesību, lietvedības, arhīva, saistību, t.sk. darba tiesisko attiecību, mantas, finanšu līdzekļu, ilgtermiņa ieguldījumu, funkciju pārņēmēja.</w:t>
      </w:r>
    </w:p>
    <w:p w14:paraId="675B4634" w14:textId="77777777" w:rsidR="009D437D" w:rsidRDefault="00793E0A">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Gulbenes novada pašvaldības īpašuma tiesības uz nekustamo īpašumu Daukstu pagastā ar nosaukumu “</w:t>
      </w:r>
      <w:proofErr w:type="spellStart"/>
      <w:r>
        <w:rPr>
          <w:rFonts w:ascii="Times New Roman" w:hAnsi="Times New Roman" w:cs="Times New Roman"/>
          <w:sz w:val="24"/>
          <w:szCs w:val="24"/>
        </w:rPr>
        <w:t>Krapas</w:t>
      </w:r>
      <w:proofErr w:type="spellEnd"/>
      <w:r>
        <w:rPr>
          <w:rFonts w:ascii="Times New Roman" w:hAnsi="Times New Roman" w:cs="Times New Roman"/>
          <w:sz w:val="24"/>
          <w:szCs w:val="24"/>
        </w:rPr>
        <w:t xml:space="preserve"> centrs”, kadastra numurs 5048 002 0276, kas sastāv no zemes vienības ar kadastra apzīmējumu 50480020276 ar platību 3.65 ha (pēc kadastrālās uzmērīšanas), 2024.gada 19.decembrī ar Vidzemes rajona tiesas lēmumu ir reģistrētas Daukstu pagasta zemesgrāmatas nodalījumā Nr.</w:t>
      </w:r>
      <w:r>
        <w:t xml:space="preserve"> </w:t>
      </w:r>
      <w:r>
        <w:rPr>
          <w:rFonts w:ascii="Times New Roman" w:hAnsi="Times New Roman" w:cs="Times New Roman"/>
          <w:sz w:val="24"/>
          <w:szCs w:val="24"/>
        </w:rPr>
        <w:t xml:space="preserve">100000933056. </w:t>
      </w:r>
    </w:p>
    <w:p w14:paraId="675B4635" w14:textId="77777777" w:rsidR="009D437D" w:rsidRDefault="00793E0A">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w:t>
      </w:r>
    </w:p>
    <w:p w14:paraId="675B4636" w14:textId="77777777" w:rsidR="009D437D" w:rsidRDefault="00793E0A">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Saskaņā ar Publiskas personas mantas atsavināšanas likuma 3.panta otro daļu publisku personu mantas atsavināšanas pamatveids ir mantas pārdošana izsolē. Citus mantas atsavināšanas </w:t>
      </w:r>
      <w:r>
        <w:rPr>
          <w:rFonts w:ascii="Times New Roman" w:hAnsi="Times New Roman" w:cs="Times New Roman"/>
          <w:sz w:val="24"/>
          <w:szCs w:val="24"/>
        </w:rPr>
        <w:lastRenderedPageBreak/>
        <w:t>veidus var izmantot tikai šajā likumā paredzētajos gadījumos. Šā likuma 5.panta pirmā daļa cita starpā nosaka, ka atļauju atsavināt atvasinātu publisku personu nekustamo īpašumu dod attiecīgās atvasinātās publiskās personas lēmējinstitūcija, savukārt šā panta piektā daļa nosaka, ka lēmumā par nekustamā īpašuma atsavināšanu tiek noteikts arī atsavināšanas veids un, ja nepieciešams, nekustamā īpašuma turpmākās izmantošanas nosacījumi un atsavināšanas tiesību aprobežojumi. Saskaņā ar šā likuma 8.panta otro daļu atsavināšanai paredzētā atvasinātas publiskas personas nekustamā īpašuma novērtēšanu organizē attiecīgās atvasinātās publiskās personas lēmējinstitūcijas noteiktajā kārtībā, savukārt šā panta sestā daļa nosaka, ka mantas novērtēšanas komisija novērtēšanai pieaicina vienu vai vairākus sertificētus vērtētājus.</w:t>
      </w:r>
    </w:p>
    <w:p w14:paraId="675B4637" w14:textId="68F07656" w:rsidR="009D437D" w:rsidRPr="00EB556F" w:rsidRDefault="00793E0A">
      <w:pPr>
        <w:spacing w:line="360" w:lineRule="auto"/>
        <w:ind w:firstLine="567"/>
        <w:jc w:val="both"/>
        <w:rPr>
          <w:rFonts w:ascii="Times New Roman" w:hAnsi="Times New Roman" w:cs="Times New Roman"/>
          <w:color w:val="000000"/>
          <w:sz w:val="24"/>
          <w:szCs w:val="24"/>
        </w:rPr>
      </w:pPr>
      <w:r>
        <w:rPr>
          <w:rFonts w:ascii="Times New Roman" w:hAnsi="Times New Roman" w:cs="Times New Roman"/>
          <w:sz w:val="24"/>
          <w:szCs w:val="24"/>
        </w:rPr>
        <w:t>Pamatojoties uz</w:t>
      </w:r>
      <w:r>
        <w:t xml:space="preserve"> </w:t>
      </w:r>
      <w:r>
        <w:rPr>
          <w:rFonts w:ascii="Times New Roman" w:hAnsi="Times New Roman" w:cs="Times New Roman"/>
          <w:sz w:val="24"/>
          <w:szCs w:val="24"/>
        </w:rPr>
        <w:t xml:space="preserve">Pašvaldību likuma 10.panta pirmās daļas 16.punktu, Publiskas personas mantas atsavināšanas likuma 3.panta otro daļu, 5.panta pirmo un piekto daļu, 8.panta otro un sesto </w:t>
      </w:r>
      <w:r w:rsidRPr="00EB556F">
        <w:rPr>
          <w:rFonts w:ascii="Times New Roman" w:hAnsi="Times New Roman" w:cs="Times New Roman"/>
          <w:sz w:val="24"/>
          <w:szCs w:val="24"/>
        </w:rPr>
        <w:t xml:space="preserve">daļu, un ņemot vērā Attīstības un tautsaimniecības komitejas ieteikumu un Finanšu komitejas ieteikumu, atklāti balsojot: </w:t>
      </w:r>
      <w:r w:rsidR="00EB556F" w:rsidRPr="00EB556F">
        <w:rPr>
          <w:rFonts w:ascii="Times New Roman" w:hAnsi="Times New Roman" w:cs="Times New Roman"/>
          <w:noProof/>
          <w:sz w:val="24"/>
          <w:szCs w:val="24"/>
        </w:rPr>
        <w:t>ar 11 balsīm "Par" (Aivars Circens, Anatolijs Savickis, Atis Jencītis, Guna Pūcīte, Guna Švika, Gunārs Ciglis, Intars Liepiņš, Ivars Kupčs, Lāsma Gabdulļina, Mudīte Motivāne, Normunds Audzišs), "Pret" – nav, "Atturas" – nav, "Nepiedalās" – nav</w:t>
      </w:r>
      <w:r w:rsidRPr="00EB556F">
        <w:rPr>
          <w:rFonts w:ascii="Times New Roman" w:hAnsi="Times New Roman" w:cs="Times New Roman"/>
          <w:sz w:val="24"/>
          <w:szCs w:val="24"/>
        </w:rPr>
        <w:t>, Gulbenes novada pašvaldības dome NOLEMJ:</w:t>
      </w:r>
    </w:p>
    <w:p w14:paraId="675B4638" w14:textId="77777777" w:rsidR="009D437D" w:rsidRDefault="00793E0A">
      <w:pPr>
        <w:tabs>
          <w:tab w:val="left" w:pos="851"/>
        </w:tabs>
        <w:spacing w:line="360" w:lineRule="auto"/>
        <w:ind w:firstLine="567"/>
        <w:jc w:val="both"/>
        <w:rPr>
          <w:rFonts w:ascii="Times New Roman" w:hAnsi="Times New Roman" w:cs="Times New Roman"/>
          <w:color w:val="00000A"/>
          <w:sz w:val="24"/>
          <w:szCs w:val="24"/>
        </w:rPr>
      </w:pPr>
      <w:r>
        <w:rPr>
          <w:rFonts w:ascii="Times New Roman" w:hAnsi="Times New Roman" w:cs="Times New Roman"/>
          <w:color w:val="00000A"/>
          <w:sz w:val="24"/>
          <w:szCs w:val="24"/>
        </w:rPr>
        <w:t xml:space="preserve">1. NODOT atsavināšanai Gulbenes novada pašvaldībai piederošo nekustamo īpašumu </w:t>
      </w:r>
      <w:r>
        <w:rPr>
          <w:rFonts w:ascii="Times New Roman" w:hAnsi="Times New Roman" w:cs="Times New Roman"/>
          <w:sz w:val="24"/>
          <w:szCs w:val="24"/>
        </w:rPr>
        <w:t>Daukstu pagastā ar nosaukumu “</w:t>
      </w:r>
      <w:proofErr w:type="spellStart"/>
      <w:r>
        <w:rPr>
          <w:rFonts w:ascii="Times New Roman" w:hAnsi="Times New Roman" w:cs="Times New Roman"/>
          <w:sz w:val="24"/>
          <w:szCs w:val="24"/>
        </w:rPr>
        <w:t>Krapas</w:t>
      </w:r>
      <w:proofErr w:type="spellEnd"/>
      <w:r>
        <w:rPr>
          <w:rFonts w:ascii="Times New Roman" w:hAnsi="Times New Roman" w:cs="Times New Roman"/>
          <w:sz w:val="24"/>
          <w:szCs w:val="24"/>
        </w:rPr>
        <w:t xml:space="preserve"> centrs”, kadastra numurs 5048 002 0276, kas sastāv no zemes vienības ar kadastra apzīmējumu 50480020276 ar platību 3.65 ha</w:t>
      </w:r>
      <w:r>
        <w:rPr>
          <w:rFonts w:ascii="Times New Roman" w:hAnsi="Times New Roman" w:cs="Times New Roman"/>
          <w:color w:val="00000A"/>
          <w:sz w:val="24"/>
          <w:szCs w:val="24"/>
        </w:rPr>
        <w:t>, atklātā mutiskā izsolē ar augšupejošu soli.</w:t>
      </w:r>
    </w:p>
    <w:p w14:paraId="675B4639" w14:textId="77777777" w:rsidR="009D437D" w:rsidRDefault="00793E0A">
      <w:pPr>
        <w:tabs>
          <w:tab w:val="left" w:pos="851"/>
        </w:tabs>
        <w:spacing w:line="360" w:lineRule="auto"/>
        <w:ind w:firstLine="567"/>
        <w:jc w:val="both"/>
        <w:rPr>
          <w:rFonts w:ascii="Times New Roman" w:hAnsi="Times New Roman" w:cs="Times New Roman"/>
          <w:color w:val="00000A"/>
          <w:sz w:val="24"/>
          <w:szCs w:val="24"/>
        </w:rPr>
      </w:pPr>
      <w:r>
        <w:rPr>
          <w:rFonts w:ascii="Times New Roman" w:hAnsi="Times New Roman" w:cs="Times New Roman"/>
          <w:color w:val="00000A"/>
          <w:sz w:val="24"/>
          <w:szCs w:val="24"/>
        </w:rPr>
        <w:t xml:space="preserve">2. </w:t>
      </w:r>
      <w:r>
        <w:rPr>
          <w:rFonts w:ascii="Times New Roman" w:hAnsi="Times New Roman" w:cs="Times New Roman"/>
          <w:color w:val="00000A"/>
          <w:sz w:val="24"/>
          <w:szCs w:val="24"/>
        </w:rPr>
        <w:tab/>
        <w:t>UZDOT Gulbenes novada pašvaldības īpašuma novērtēšanas un izsoļu komisijai organizēt šā lēmuma 1.punktā minētā nekustamā īpašuma novērtēšanu, pieaicinot sertificētu vērtētāju, un nosacītās cenas noteikšanu un iesniegt to apstiprināšanai Gulbenes novada pašvaldības domes sēdē.</w:t>
      </w:r>
    </w:p>
    <w:p w14:paraId="675B463A" w14:textId="77777777" w:rsidR="009D437D" w:rsidRDefault="00793E0A">
      <w:pPr>
        <w:tabs>
          <w:tab w:val="left" w:pos="851"/>
        </w:tabs>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3. </w:t>
      </w:r>
      <w:r>
        <w:rPr>
          <w:rFonts w:ascii="Times New Roman" w:hAnsi="Times New Roman" w:cs="Times New Roman"/>
          <w:sz w:val="24"/>
          <w:szCs w:val="24"/>
        </w:rPr>
        <w:tab/>
        <w:t>Par izpildi atbildīga Gulbenes novada pašvaldības īpašuma novērtēšanas un izsoļu komisija.</w:t>
      </w:r>
    </w:p>
    <w:p w14:paraId="675B463B" w14:textId="77777777" w:rsidR="009D437D" w:rsidRDefault="00793E0A">
      <w:pPr>
        <w:tabs>
          <w:tab w:val="left" w:pos="851"/>
        </w:tabs>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4. </w:t>
      </w:r>
      <w:r>
        <w:rPr>
          <w:rFonts w:ascii="Times New Roman" w:hAnsi="Times New Roman" w:cs="Times New Roman"/>
          <w:sz w:val="24"/>
          <w:szCs w:val="24"/>
        </w:rPr>
        <w:tab/>
        <w:t>Lēmuma izpildes kontroli veikt Gulbenes novada pašvaldības izpilddirektoram.</w:t>
      </w:r>
    </w:p>
    <w:p w14:paraId="675B463C" w14:textId="77777777" w:rsidR="009D437D" w:rsidRDefault="009D437D">
      <w:pPr>
        <w:spacing w:line="360" w:lineRule="auto"/>
        <w:jc w:val="both"/>
        <w:rPr>
          <w:rFonts w:ascii="Times New Roman" w:hAnsi="Times New Roman" w:cs="Times New Roman"/>
          <w:sz w:val="24"/>
          <w:szCs w:val="24"/>
        </w:rPr>
      </w:pPr>
    </w:p>
    <w:p w14:paraId="71334365" w14:textId="77777777" w:rsidR="00EB556F" w:rsidRPr="00EB556F" w:rsidRDefault="00EB556F" w:rsidP="00EB556F">
      <w:pPr>
        <w:tabs>
          <w:tab w:val="left" w:pos="7230"/>
        </w:tabs>
        <w:spacing w:line="360" w:lineRule="auto"/>
        <w:jc w:val="both"/>
        <w:rPr>
          <w:rFonts w:ascii="Times New Roman" w:eastAsia="Calibri" w:hAnsi="Times New Roman" w:cs="Times New Roman"/>
          <w:sz w:val="24"/>
          <w:szCs w:val="24"/>
          <w:lang w:eastAsia="en-US"/>
        </w:rPr>
      </w:pPr>
      <w:r w:rsidRPr="00EB556F">
        <w:rPr>
          <w:rFonts w:ascii="Times New Roman" w:eastAsia="Calibri" w:hAnsi="Times New Roman" w:cs="Times New Roman"/>
          <w:sz w:val="24"/>
          <w:szCs w:val="24"/>
          <w:lang w:eastAsia="en-US"/>
        </w:rPr>
        <w:t>Gulbenes novada pašvaldības domes priekšsēdētāja vietniece</w:t>
      </w:r>
      <w:r w:rsidRPr="00EB556F">
        <w:rPr>
          <w:rFonts w:ascii="Times New Roman" w:eastAsia="Calibri" w:hAnsi="Times New Roman" w:cs="Times New Roman"/>
          <w:sz w:val="24"/>
          <w:szCs w:val="24"/>
          <w:lang w:eastAsia="en-US"/>
        </w:rPr>
        <w:tab/>
      </w:r>
      <w:r w:rsidRPr="00EB556F">
        <w:rPr>
          <w:rFonts w:ascii="Times New Roman" w:eastAsia="Calibri" w:hAnsi="Times New Roman" w:cs="Times New Roman"/>
          <w:sz w:val="24"/>
          <w:szCs w:val="24"/>
          <w:lang w:eastAsia="en-US"/>
        </w:rPr>
        <w:tab/>
      </w:r>
      <w:proofErr w:type="spellStart"/>
      <w:r w:rsidRPr="00EB556F">
        <w:rPr>
          <w:rFonts w:ascii="Times New Roman" w:eastAsia="Calibri" w:hAnsi="Times New Roman" w:cs="Times New Roman"/>
          <w:sz w:val="24"/>
          <w:szCs w:val="24"/>
          <w:lang w:eastAsia="en-US"/>
        </w:rPr>
        <w:t>G.Švika</w:t>
      </w:r>
      <w:proofErr w:type="spellEnd"/>
    </w:p>
    <w:p w14:paraId="675B463E" w14:textId="77777777" w:rsidR="009D437D" w:rsidRDefault="009D437D">
      <w:pPr>
        <w:spacing w:line="360" w:lineRule="auto"/>
        <w:rPr>
          <w:rFonts w:ascii="Times New Roman" w:hAnsi="Times New Roman" w:cs="Times New Roman"/>
          <w:sz w:val="24"/>
          <w:szCs w:val="24"/>
        </w:rPr>
      </w:pPr>
    </w:p>
    <w:sectPr w:rsidR="009D437D" w:rsidSect="006C26B8">
      <w:pgSz w:w="11906" w:h="16838"/>
      <w:pgMar w:top="851" w:right="851" w:bottom="851" w:left="170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Georgia">
    <w:panose1 w:val="02040502050405020303"/>
    <w:charset w:val="BA"/>
    <w:family w:val="roman"/>
    <w:pitch w:val="variable"/>
    <w:sig w:usb0="00000287" w:usb1="00000000" w:usb2="00000000" w:usb3="00000000" w:csb0="0000009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437D"/>
    <w:rsid w:val="00005CB5"/>
    <w:rsid w:val="00517550"/>
    <w:rsid w:val="006C26B8"/>
    <w:rsid w:val="00793E0A"/>
    <w:rsid w:val="008F754D"/>
    <w:rsid w:val="00915286"/>
    <w:rsid w:val="009D437D"/>
    <w:rsid w:val="00EB556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5B461D"/>
  <w15:docId w15:val="{B4423797-7A57-44C7-A04A-C493375B7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rPr>
      <w:rFonts w:eastAsia="Times New Roman"/>
    </w:rPr>
  </w:style>
  <w:style w:type="paragraph" w:styleId="Virsraksts1">
    <w:name w:val="heading 1"/>
    <w:basedOn w:val="Parasts"/>
    <w:next w:val="Parasts"/>
    <w:pPr>
      <w:keepNext/>
      <w:keepLines/>
      <w:spacing w:before="480" w:after="120"/>
      <w:outlineLvl w:val="0"/>
    </w:pPr>
    <w:rPr>
      <w:b/>
      <w:sz w:val="48"/>
      <w:szCs w:val="48"/>
    </w:rPr>
  </w:style>
  <w:style w:type="paragraph" w:styleId="Virsraksts2">
    <w:name w:val="heading 2"/>
    <w:basedOn w:val="Parasts"/>
    <w:next w:val="Parasts"/>
    <w:pPr>
      <w:keepNext/>
      <w:keepLines/>
      <w:spacing w:before="360" w:after="80"/>
      <w:outlineLvl w:val="1"/>
    </w:pPr>
    <w:rPr>
      <w:b/>
      <w:sz w:val="36"/>
      <w:szCs w:val="36"/>
    </w:rPr>
  </w:style>
  <w:style w:type="paragraph" w:styleId="Virsraksts3">
    <w:name w:val="heading 3"/>
    <w:basedOn w:val="Parasts"/>
    <w:next w:val="Parasts"/>
    <w:pPr>
      <w:keepNext/>
      <w:keepLines/>
      <w:spacing w:before="280" w:after="80"/>
      <w:outlineLvl w:val="2"/>
    </w:pPr>
    <w:rPr>
      <w:b/>
      <w:sz w:val="28"/>
      <w:szCs w:val="28"/>
    </w:rPr>
  </w:style>
  <w:style w:type="paragraph" w:styleId="Virsraksts4">
    <w:name w:val="heading 4"/>
    <w:basedOn w:val="Parasts"/>
    <w:next w:val="Parasts"/>
    <w:pPr>
      <w:keepNext/>
      <w:keepLines/>
      <w:spacing w:before="240" w:after="40"/>
      <w:outlineLvl w:val="3"/>
    </w:pPr>
    <w:rPr>
      <w:b/>
      <w:sz w:val="24"/>
      <w:szCs w:val="24"/>
    </w:rPr>
  </w:style>
  <w:style w:type="paragraph" w:styleId="Virsraksts5">
    <w:name w:val="heading 5"/>
    <w:basedOn w:val="Parasts"/>
    <w:next w:val="Parasts"/>
    <w:pPr>
      <w:keepNext/>
      <w:keepLines/>
      <w:spacing w:before="220" w:after="40"/>
      <w:outlineLvl w:val="4"/>
    </w:pPr>
    <w:rPr>
      <w:b/>
    </w:rPr>
  </w:style>
  <w:style w:type="paragraph" w:styleId="Virsraksts6">
    <w:name w:val="heading 6"/>
    <w:basedOn w:val="Parasts"/>
    <w:next w:val="Parasts"/>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pPr>
      <w:keepNext/>
      <w:keepLines/>
      <w:spacing w:before="480" w:after="120"/>
    </w:pPr>
    <w:rPr>
      <w:b/>
      <w:sz w:val="72"/>
      <w:szCs w:val="72"/>
    </w:rPr>
  </w:style>
  <w:style w:type="paragraph" w:customStyle="1" w:styleId="Default">
    <w:name w:val="Default"/>
    <w:qFormat/>
    <w:rsid w:val="00B14439"/>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style>
  <w:style w:type="character" w:styleId="Hipersaite">
    <w:name w:val="Hyperlink"/>
    <w:basedOn w:val="Noklusjumarindkopasfonts"/>
    <w:uiPriority w:val="99"/>
    <w:unhideWhenUsed/>
    <w:rsid w:val="00341520"/>
    <w:rPr>
      <w:color w:val="0563C1" w:themeColor="hyperlink"/>
      <w:u w:val="single"/>
    </w:rPr>
  </w:style>
  <w:style w:type="character" w:customStyle="1" w:styleId="Neatrisintapieminana1">
    <w:name w:val="Neatrisināta pieminēšana1"/>
    <w:basedOn w:val="Noklusjumarindkopasfonts"/>
    <w:uiPriority w:val="99"/>
    <w:semiHidden/>
    <w:unhideWhenUsed/>
    <w:rsid w:val="00341520"/>
    <w:rPr>
      <w:color w:val="605E5C"/>
      <w:shd w:val="clear" w:color="auto" w:fill="E1DFDD"/>
    </w:rPr>
  </w:style>
  <w:style w:type="paragraph" w:styleId="Apakvirsraksts">
    <w:name w:val="Subtitle"/>
    <w:basedOn w:val="Parasts"/>
    <w:next w:val="Parasts"/>
    <w:pPr>
      <w:keepNext/>
      <w:keepLines/>
      <w:spacing w:before="360" w:after="80"/>
    </w:pPr>
    <w:rPr>
      <w:rFonts w:ascii="Georgia" w:eastAsia="Georgia" w:hAnsi="Georgia" w:cs="Georgia"/>
      <w:i/>
      <w:color w:val="666666"/>
      <w:sz w:val="48"/>
      <w:szCs w:val="48"/>
    </w:rPr>
  </w:style>
  <w:style w:type="table" w:customStyle="1" w:styleId="a">
    <w:basedOn w:val="Parastatabula"/>
    <w:tblPr>
      <w:tblStyleRowBandSize w:val="1"/>
      <w:tblStyleColBandSize w:val="1"/>
    </w:tblPr>
  </w:style>
  <w:style w:type="table" w:customStyle="1" w:styleId="a0">
    <w:basedOn w:val="Parastatabula"/>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bgPwdZLZgaV0nJP6vIGL8yMup5g==">CgMxLjA4AHIhMWtrRXpXMGpoQUFtbVUxS1dpckw3eDRQSXRISlpaVFZr</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3120</Words>
  <Characters>1779</Characters>
  <Application>Microsoft Office Word</Application>
  <DocSecurity>0</DocSecurity>
  <Lines>14</Lines>
  <Paragraphs>9</Paragraphs>
  <ScaleCrop>false</ScaleCrop>
  <Company/>
  <LinksUpToDate>false</LinksUpToDate>
  <CharactersWithSpaces>4890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Lelde Bašķere</dc:creator>
  <cp:lastModifiedBy>Vita Bašķere</cp:lastModifiedBy>
  <cp:revision>2</cp:revision>
  <cp:lastPrinted>2025-01-31T13:15:00Z</cp:lastPrinted>
  <dcterms:created xsi:type="dcterms:W3CDTF">2025-02-06T12:35:00Z</dcterms:created>
  <dcterms:modified xsi:type="dcterms:W3CDTF">2025-02-06T12:35:00Z</dcterms:modified>
</cp:coreProperties>
</file>