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48AAA7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27.februārī</w:t>
            </w:r>
          </w:p>
        </w:tc>
        <w:tc>
          <w:tcPr>
            <w:tcW w:w="4678" w:type="dxa"/>
          </w:tcPr>
          <w:p w14:paraId="4CDBC07C" w14:textId="114CF06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EDDAC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EBB3E62"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360E02">
        <w:rPr>
          <w:b/>
        </w:rPr>
        <w:t>Litenes iela 13 – 6, Gulbenē</w:t>
      </w:r>
      <w:r w:rsidR="00360E02" w:rsidRPr="00D67BDD">
        <w:rPr>
          <w:b/>
        </w:rPr>
        <w:t>,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76567C6"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360E02" w:rsidRPr="00360E02">
        <w:rPr>
          <w:rFonts w:ascii="Times New Roman" w:hAnsi="Times New Roman" w:cs="Times New Roman"/>
          <w:sz w:val="24"/>
          <w:szCs w:val="24"/>
        </w:rPr>
        <w:t xml:space="preserve">2024.gada 27.decembrī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360E02" w:rsidRPr="00360E02">
        <w:rPr>
          <w:rFonts w:ascii="Times New Roman" w:hAnsi="Times New Roman" w:cs="Times New Roman"/>
          <w:sz w:val="24"/>
          <w:szCs w:val="24"/>
        </w:rPr>
        <w:t xml:space="preserve">GND/2024/785 </w:t>
      </w:r>
      <w:r w:rsidR="004706DD" w:rsidRPr="004706DD">
        <w:rPr>
          <w:rFonts w:ascii="Times New Roman" w:hAnsi="Times New Roman" w:cs="Times New Roman"/>
          <w:sz w:val="24"/>
          <w:szCs w:val="24"/>
        </w:rPr>
        <w:t>“Par dzīvokļa īpašuma “</w:t>
      </w:r>
      <w:r w:rsidR="00931A13" w:rsidRPr="00931A13">
        <w:rPr>
          <w:rFonts w:ascii="Times New Roman" w:hAnsi="Times New Roman" w:cs="Times New Roman"/>
          <w:sz w:val="24"/>
          <w:szCs w:val="24"/>
        </w:rPr>
        <w:t xml:space="preserve">Litenes iela 13 – </w:t>
      </w:r>
      <w:r w:rsidR="00360E02">
        <w:rPr>
          <w:rFonts w:ascii="Times New Roman" w:hAnsi="Times New Roman" w:cs="Times New Roman"/>
          <w:sz w:val="24"/>
          <w:szCs w:val="24"/>
        </w:rPr>
        <w:t>6</w:t>
      </w:r>
      <w:r w:rsidR="00931A13" w:rsidRPr="00931A13">
        <w:rPr>
          <w:rFonts w:ascii="Times New Roman" w:hAnsi="Times New Roman" w:cs="Times New Roman"/>
          <w:sz w:val="24"/>
          <w:szCs w:val="24"/>
        </w:rPr>
        <w:t>, Gulbenē,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360E02" w:rsidRPr="00360E02">
        <w:rPr>
          <w:rFonts w:ascii="Times New Roman" w:hAnsi="Times New Roman" w:cs="Times New Roman"/>
          <w:sz w:val="24"/>
          <w:szCs w:val="24"/>
        </w:rPr>
        <w:t>22; 35</w:t>
      </w:r>
      <w:r w:rsidR="002624C2" w:rsidRPr="002624C2">
        <w:rPr>
          <w:rFonts w:ascii="Times New Roman" w:hAnsi="Times New Roman" w:cs="Times New Roman"/>
          <w:sz w:val="24"/>
          <w:szCs w:val="24"/>
        </w:rPr>
        <w:t xml:space="preserve">.p.), ar kuru nolēma rīkot Gulbenes novada pašvaldības dzīvokļa īpašuma dzīvokļa īpašuma </w:t>
      </w:r>
      <w:r w:rsidR="00360E02" w:rsidRPr="00360E02">
        <w:rPr>
          <w:rFonts w:ascii="Times New Roman" w:hAnsi="Times New Roman" w:cs="Times New Roman"/>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31A13" w:rsidRPr="00931A13">
        <w:rPr>
          <w:rFonts w:ascii="Times New Roman" w:hAnsi="Times New Roman" w:cs="Times New Roman"/>
          <w:sz w:val="24"/>
          <w:szCs w:val="24"/>
        </w:rPr>
        <w:t xml:space="preserve">2000 EUR (divi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13.februāra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58414C6"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3F7E7C" w:rsidRPr="003F7E7C">
        <w:rPr>
          <w:rFonts w:ascii="Times New Roman" w:hAnsi="Times New Roman" w:cs="Times New Roman"/>
          <w:sz w:val="24"/>
          <w:szCs w:val="24"/>
        </w:rPr>
        <w:t xml:space="preserve">1800 EUR (viens tūkstotis astoņi simti </w:t>
      </w:r>
      <w:r w:rsidR="002624C2" w:rsidRPr="003F7E7C">
        <w:rPr>
          <w:rFonts w:ascii="Times New Roman" w:hAnsi="Times New Roman" w:cs="Times New Roman"/>
          <w:i/>
          <w:sz w:val="24"/>
          <w:szCs w:val="24"/>
        </w:rPr>
        <w:t>euro</w:t>
      </w:r>
      <w:r w:rsidR="002624C2" w:rsidRPr="003F7E7C">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3E6EBD77"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931A13">
        <w:rPr>
          <w:rFonts w:ascii="Times New Roman" w:hAnsi="Times New Roman" w:cs="Times New Roman"/>
          <w:sz w:val="24"/>
          <w:szCs w:val="24"/>
        </w:rPr>
        <w:t>13.febru</w:t>
      </w:r>
      <w:r w:rsidR="003F7E7C">
        <w:rPr>
          <w:rFonts w:ascii="Times New Roman" w:hAnsi="Times New Roman" w:cs="Times New Roman"/>
          <w:sz w:val="24"/>
          <w:szCs w:val="24"/>
        </w:rPr>
        <w:t>ā</w:t>
      </w:r>
      <w:r w:rsidR="00931A13">
        <w:rPr>
          <w:rFonts w:ascii="Times New Roman" w:hAnsi="Times New Roman" w:cs="Times New Roman"/>
          <w:sz w:val="24"/>
          <w:szCs w:val="24"/>
        </w:rPr>
        <w:t>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0F5DC8" w:rsidRPr="000F5DC8">
        <w:rPr>
          <w:rFonts w:ascii="Times New Roman" w:hAnsi="Times New Roman" w:cs="Times New Roman"/>
          <w:sz w:val="24"/>
          <w:szCs w:val="24"/>
        </w:rPr>
        <w:t>GND/2.7.2/25/</w:t>
      </w:r>
      <w:r w:rsidR="000F5DC8">
        <w:rPr>
          <w:rFonts w:ascii="Times New Roman" w:hAnsi="Times New Roman" w:cs="Times New Roman"/>
          <w:sz w:val="24"/>
          <w:szCs w:val="24"/>
        </w:rPr>
        <w:t>4</w:t>
      </w:r>
      <w:r w:rsidR="000F5DC8" w:rsidRPr="000F5DC8">
        <w:rPr>
          <w:rFonts w:ascii="Times New Roman" w:hAnsi="Times New Roman" w:cs="Times New Roman"/>
          <w:sz w:val="24"/>
          <w:szCs w:val="24"/>
        </w:rPr>
        <w:t xml:space="preserve"> </w:t>
      </w:r>
      <w:r w:rsidR="00E13301" w:rsidRPr="00AC664E">
        <w:rPr>
          <w:rFonts w:ascii="Times New Roman" w:hAnsi="Times New Roman" w:cs="Times New Roman"/>
          <w:sz w:val="24"/>
          <w:szCs w:val="24"/>
        </w:rPr>
        <w:t>(</w:t>
      </w:r>
      <w:r w:rsidR="00AB6590">
        <w:rPr>
          <w:rFonts w:ascii="Times New Roman" w:hAnsi="Times New Roman" w:cs="Times New Roman"/>
          <w:sz w:val="24"/>
          <w:szCs w:val="24"/>
        </w:rPr>
        <w:t>6</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p>
    <w:p w14:paraId="3D71D619" w14:textId="5943C4BE"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13.februārī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B6590" w:rsidRPr="00AB6590">
        <w:rPr>
          <w:rFonts w:ascii="Times New Roman" w:hAnsi="Times New Roman" w:cs="Times New Roman"/>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5D30B7DC"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3F7E7C" w:rsidRPr="003F7E7C">
        <w:rPr>
          <w:rFonts w:ascii="Times New Roman" w:hAnsi="Times New Roman" w:cs="Times New Roman"/>
          <w:sz w:val="24"/>
          <w:szCs w:val="24"/>
        </w:rPr>
        <w:t xml:space="preserve">1800 EUR (viens tūkstotis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049A19A2" w14:textId="03A4AC8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27.02</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75AD3281" w:rsidR="00F91ACE" w:rsidRDefault="00C3551C" w:rsidP="000573A4">
      <w:pPr>
        <w:pStyle w:val="Pamatteksts"/>
        <w:spacing w:after="0"/>
        <w:jc w:val="center"/>
        <w:rPr>
          <w:rFonts w:ascii="Times New Roman" w:hAnsi="Times New Roman" w:cs="Times New Roman"/>
          <w:b/>
          <w:caps/>
          <w:sz w:val="24"/>
          <w:szCs w:val="24"/>
        </w:rPr>
      </w:pPr>
      <w:r w:rsidRPr="00C3551C">
        <w:rPr>
          <w:rFonts w:ascii="Times New Roman" w:hAnsi="Times New Roman" w:cs="Times New Roman"/>
          <w:b/>
          <w:caps/>
          <w:sz w:val="24"/>
          <w:szCs w:val="24"/>
        </w:rPr>
        <w:t>LITENES IELA 13 – 6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B873FF1"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C3551C" w:rsidRPr="00C3551C">
        <w:rPr>
          <w:rFonts w:ascii="Times New Roman" w:hAnsi="Times New Roman" w:cs="Times New Roman"/>
          <w:sz w:val="24"/>
          <w:szCs w:val="24"/>
        </w:rPr>
        <w:t>Litenes iela 13 – 6, Gulbenē, Gulbenes novadā, kadastra numuru 5001 900 2702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7F20BA9"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C3551C" w:rsidRPr="00C3551C">
        <w:rPr>
          <w:rFonts w:ascii="Times New Roman" w:hAnsi="Times New Roman" w:cs="Times New Roman"/>
          <w:color w:val="000000"/>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F37D8E">
        <w:rPr>
          <w:rFonts w:ascii="Times New Roman" w:hAnsi="Times New Roman" w:cs="Times New Roman"/>
          <w:sz w:val="24"/>
          <w:szCs w:val="24"/>
        </w:rPr>
        <w:t>.</w:t>
      </w:r>
    </w:p>
    <w:p w14:paraId="2F4212FC" w14:textId="7035C184"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C3551C" w:rsidRPr="00C3551C">
        <w:rPr>
          <w:rFonts w:ascii="Times New Roman" w:hAnsi="Times New Roman" w:cs="Times New Roman"/>
          <w:color w:val="000000"/>
          <w:sz w:val="24"/>
          <w:szCs w:val="24"/>
        </w:rPr>
        <w:t>667 6</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48F39209"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201BD" w:rsidRPr="005201BD">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08886D1"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F7E7C" w:rsidRPr="003F7E7C">
        <w:rPr>
          <w:rFonts w:ascii="Times New Roman" w:hAnsi="Times New Roman" w:cs="Times New Roman"/>
          <w:sz w:val="24"/>
          <w:szCs w:val="24"/>
        </w:rPr>
        <w:t xml:space="preserve">1800 EUR (viens tūkstotis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0CF05ECF"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F7E7C">
        <w:rPr>
          <w:rFonts w:ascii="Times New Roman" w:hAnsi="Times New Roman" w:cs="Times New Roman"/>
          <w:sz w:val="24"/>
          <w:szCs w:val="24"/>
          <w:lang w:eastAsia="en-US"/>
        </w:rPr>
        <w:t xml:space="preserve">2.4. </w:t>
      </w:r>
      <w:r w:rsidR="00A503CC" w:rsidRPr="003F7E7C">
        <w:rPr>
          <w:rFonts w:ascii="Times New Roman" w:hAnsi="Times New Roman" w:cs="Times New Roman"/>
          <w:sz w:val="24"/>
          <w:szCs w:val="24"/>
          <w:lang w:eastAsia="en-US"/>
        </w:rPr>
        <w:tab/>
      </w:r>
      <w:r w:rsidRPr="003F7E7C">
        <w:rPr>
          <w:rFonts w:ascii="Times New Roman" w:hAnsi="Times New Roman" w:cs="Times New Roman"/>
          <w:bCs/>
          <w:sz w:val="24"/>
          <w:szCs w:val="24"/>
          <w:lang w:eastAsia="en-US"/>
        </w:rPr>
        <w:t xml:space="preserve">Objekta </w:t>
      </w:r>
      <w:r w:rsidRPr="003F7E7C">
        <w:rPr>
          <w:rFonts w:ascii="Times New Roman" w:hAnsi="Times New Roman" w:cs="Times New Roman"/>
          <w:color w:val="000000"/>
          <w:sz w:val="24"/>
          <w:szCs w:val="24"/>
        </w:rPr>
        <w:t>nodrošinājums tiek noteikts 10% apmērā no izsoles nosacītās cenas, t.i.</w:t>
      </w:r>
      <w:r w:rsidR="00D671E7" w:rsidRPr="003F7E7C">
        <w:rPr>
          <w:rFonts w:ascii="Times New Roman" w:hAnsi="Times New Roman" w:cs="Times New Roman"/>
          <w:color w:val="000000"/>
          <w:sz w:val="24"/>
          <w:szCs w:val="24"/>
        </w:rPr>
        <w:t>,</w:t>
      </w:r>
      <w:r w:rsidRPr="003F7E7C">
        <w:rPr>
          <w:rFonts w:ascii="Times New Roman" w:hAnsi="Times New Roman" w:cs="Times New Roman"/>
          <w:color w:val="000000"/>
          <w:sz w:val="24"/>
          <w:szCs w:val="24"/>
        </w:rPr>
        <w:t xml:space="preserve"> </w:t>
      </w:r>
      <w:r w:rsidR="00816C0A" w:rsidRPr="003F7E7C">
        <w:rPr>
          <w:rFonts w:ascii="Times New Roman" w:hAnsi="Times New Roman" w:cs="Times New Roman"/>
          <w:color w:val="000000"/>
          <w:sz w:val="24"/>
          <w:szCs w:val="24"/>
        </w:rPr>
        <w:t>1</w:t>
      </w:r>
      <w:r w:rsidR="003F7E7C" w:rsidRPr="003F7E7C">
        <w:rPr>
          <w:rFonts w:ascii="Times New Roman" w:hAnsi="Times New Roman" w:cs="Times New Roman"/>
          <w:color w:val="000000"/>
          <w:sz w:val="24"/>
          <w:szCs w:val="24"/>
        </w:rPr>
        <w:t>8</w:t>
      </w:r>
      <w:r w:rsidR="00816C0A" w:rsidRPr="003F7E7C">
        <w:rPr>
          <w:rFonts w:ascii="Times New Roman" w:hAnsi="Times New Roman" w:cs="Times New Roman"/>
          <w:color w:val="000000"/>
          <w:sz w:val="24"/>
          <w:szCs w:val="24"/>
        </w:rPr>
        <w:t>0</w:t>
      </w:r>
      <w:r w:rsidRPr="003F7E7C">
        <w:rPr>
          <w:rFonts w:ascii="Times New Roman" w:hAnsi="Times New Roman" w:cs="Times New Roman"/>
          <w:color w:val="000000"/>
          <w:sz w:val="24"/>
          <w:szCs w:val="24"/>
        </w:rPr>
        <w:t xml:space="preserve"> EUR </w:t>
      </w:r>
      <w:r w:rsidR="00953D8C" w:rsidRPr="003F7E7C">
        <w:rPr>
          <w:rFonts w:ascii="Times New Roman" w:hAnsi="Times New Roman" w:cs="Times New Roman"/>
          <w:color w:val="000000"/>
          <w:sz w:val="24"/>
          <w:szCs w:val="24"/>
        </w:rPr>
        <w:t>(</w:t>
      </w:r>
      <w:r w:rsidR="00816C0A" w:rsidRPr="003F7E7C">
        <w:rPr>
          <w:rFonts w:ascii="Times New Roman" w:hAnsi="Times New Roman" w:cs="Times New Roman"/>
          <w:color w:val="000000"/>
          <w:sz w:val="24"/>
          <w:szCs w:val="24"/>
        </w:rPr>
        <w:t xml:space="preserve">viens simts </w:t>
      </w:r>
      <w:r w:rsidR="003F7E7C" w:rsidRPr="003F7E7C">
        <w:rPr>
          <w:rFonts w:ascii="Times New Roman" w:hAnsi="Times New Roman" w:cs="Times New Roman"/>
          <w:color w:val="000000"/>
          <w:sz w:val="24"/>
          <w:szCs w:val="24"/>
        </w:rPr>
        <w:t>astoņdesmit</w:t>
      </w:r>
      <w:r w:rsidR="00C950B3" w:rsidRPr="003F7E7C">
        <w:rPr>
          <w:rFonts w:ascii="Times New Roman" w:hAnsi="Times New Roman" w:cs="Times New Roman"/>
          <w:color w:val="000000"/>
          <w:sz w:val="24"/>
          <w:szCs w:val="24"/>
        </w:rPr>
        <w:t xml:space="preserve"> </w:t>
      </w:r>
      <w:r w:rsidRPr="003F7E7C">
        <w:rPr>
          <w:rFonts w:ascii="Times New Roman" w:hAnsi="Times New Roman" w:cs="Times New Roman"/>
          <w:i/>
          <w:color w:val="000000"/>
          <w:sz w:val="24"/>
          <w:szCs w:val="24"/>
        </w:rPr>
        <w:t>euro</w:t>
      </w:r>
      <w:r w:rsidRPr="003F7E7C">
        <w:rPr>
          <w:rFonts w:ascii="Times New Roman" w:hAnsi="Times New Roman" w:cs="Times New Roman"/>
          <w:color w:val="000000"/>
          <w:sz w:val="24"/>
          <w:szCs w:val="24"/>
        </w:rPr>
        <w:t>).</w:t>
      </w:r>
      <w:r w:rsidRPr="003F7E7C">
        <w:rPr>
          <w:rFonts w:ascii="Times New Roman" w:hAnsi="Times New Roman" w:cs="Times New Roman"/>
          <w:color w:val="000000"/>
          <w:sz w:val="24"/>
          <w:szCs w:val="24"/>
          <w:lang w:eastAsia="en-US"/>
        </w:rPr>
        <w:t xml:space="preserve"> </w:t>
      </w:r>
      <w:r w:rsidRPr="003F7E7C">
        <w:rPr>
          <w:rFonts w:ascii="Times New Roman" w:hAnsi="Times New Roman" w:cs="Times New Roman"/>
          <w:color w:val="000000"/>
          <w:sz w:val="24"/>
          <w:szCs w:val="24"/>
        </w:rPr>
        <w:t>Tas iemaksājams pirms pieteikuma iesniegšanas,</w:t>
      </w:r>
      <w:r w:rsidRPr="009E3D1E">
        <w:rPr>
          <w:rFonts w:ascii="Times New Roman" w:hAnsi="Times New Roman" w:cs="Times New Roman"/>
          <w:color w:val="000000"/>
          <w:sz w:val="24"/>
          <w:szCs w:val="24"/>
        </w:rPr>
        <w:t xml:space="preserve">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16C0A" w:rsidRPr="00816C0A">
        <w:rPr>
          <w:rFonts w:ascii="Times New Roman" w:hAnsi="Times New Roman" w:cs="Times New Roman"/>
          <w:color w:val="000000"/>
          <w:sz w:val="24"/>
          <w:szCs w:val="24"/>
        </w:rPr>
        <w:t xml:space="preserve">Litenes iela 13 – </w:t>
      </w:r>
      <w:r w:rsidR="00C3551C">
        <w:rPr>
          <w:rFonts w:ascii="Times New Roman" w:hAnsi="Times New Roman" w:cs="Times New Roman"/>
          <w:color w:val="000000"/>
          <w:sz w:val="24"/>
          <w:szCs w:val="24"/>
        </w:rPr>
        <w:t>6</w:t>
      </w:r>
      <w:r w:rsidR="00816C0A" w:rsidRPr="00816C0A">
        <w:rPr>
          <w:rFonts w:ascii="Times New Roman" w:hAnsi="Times New Roman" w:cs="Times New Roman"/>
          <w:color w:val="000000"/>
          <w:sz w:val="24"/>
          <w:szCs w:val="24"/>
        </w:rPr>
        <w:t>,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559E11"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F7E7C" w:rsidRPr="003F7E7C">
        <w:rPr>
          <w:rFonts w:ascii="Times New Roman" w:hAnsi="Times New Roman" w:cs="Times New Roman"/>
          <w:sz w:val="24"/>
          <w:szCs w:val="24"/>
        </w:rPr>
        <w:t xml:space="preserve">90 EUR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E7BDF42"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16C0A" w:rsidRPr="00816C0A">
        <w:rPr>
          <w:rFonts w:ascii="Times New Roman" w:hAnsi="Times New Roman" w:cs="Times New Roman"/>
          <w:color w:val="000000"/>
          <w:sz w:val="24"/>
          <w:szCs w:val="24"/>
        </w:rPr>
        <w:t xml:space="preserve">Litenes iela 13 – </w:t>
      </w:r>
      <w:r w:rsidR="00C3551C">
        <w:rPr>
          <w:rFonts w:ascii="Times New Roman" w:hAnsi="Times New Roman" w:cs="Times New Roman"/>
          <w:color w:val="000000"/>
          <w:sz w:val="24"/>
          <w:szCs w:val="24"/>
        </w:rPr>
        <w:t>6</w:t>
      </w:r>
      <w:r w:rsidR="00816C0A" w:rsidRPr="00816C0A">
        <w:rPr>
          <w:rFonts w:ascii="Times New Roman" w:hAnsi="Times New Roman" w:cs="Times New Roman"/>
          <w:color w:val="000000"/>
          <w:sz w:val="24"/>
          <w:szCs w:val="24"/>
        </w:rPr>
        <w:t>,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9B5073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2025.gada 8.aprīlim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10841F4"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2025.gada 10.aprīlī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w:t>
      </w:r>
      <w:r w:rsidR="00C3551C">
        <w:rPr>
          <w:rFonts w:ascii="Times New Roman" w:hAnsi="Times New Roman" w:cs="Times New Roman"/>
          <w:b/>
          <w:sz w:val="24"/>
          <w:szCs w:val="24"/>
        </w:rPr>
        <w:t>35</w:t>
      </w:r>
      <w:r w:rsidR="00B974BE" w:rsidRPr="00B974BE">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00B266"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905BD9" w:rsidRPr="00905BD9">
        <w:rPr>
          <w:rFonts w:ascii="Times New Roman" w:hAnsi="Times New Roman" w:cs="Times New Roman"/>
          <w:color w:val="000000"/>
          <w:sz w:val="24"/>
          <w:szCs w:val="24"/>
        </w:rPr>
        <w:t xml:space="preserve">Litenes iela 13 – </w:t>
      </w:r>
      <w:r w:rsidR="00B6721E">
        <w:rPr>
          <w:rFonts w:ascii="Times New Roman" w:hAnsi="Times New Roman" w:cs="Times New Roman"/>
          <w:color w:val="000000"/>
          <w:sz w:val="24"/>
          <w:szCs w:val="24"/>
        </w:rPr>
        <w:t>6</w:t>
      </w:r>
      <w:r w:rsidR="00905BD9" w:rsidRPr="00905BD9">
        <w:rPr>
          <w:rFonts w:ascii="Times New Roman" w:hAnsi="Times New Roman" w:cs="Times New Roman"/>
          <w:color w:val="000000"/>
          <w:sz w:val="24"/>
          <w:szCs w:val="24"/>
        </w:rPr>
        <w:t>,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6CEF4FB" w14:textId="77777777" w:rsidR="00273D01" w:rsidRDefault="00273D01" w:rsidP="00273D01">
      <w:pPr>
        <w:pStyle w:val="Sarakstarindkopa"/>
        <w:spacing w:line="360" w:lineRule="auto"/>
        <w:ind w:left="567"/>
        <w:jc w:val="both"/>
        <w:rPr>
          <w:rFonts w:ascii="Times New Roman" w:hAnsi="Times New Roman" w:cs="Times New Roman"/>
          <w:sz w:val="24"/>
          <w:szCs w:val="24"/>
        </w:rPr>
      </w:pPr>
    </w:p>
    <w:p w14:paraId="43844257" w14:textId="77777777" w:rsidR="00273D01" w:rsidRPr="003B6916" w:rsidRDefault="00273D01" w:rsidP="00273D01">
      <w:pPr>
        <w:pStyle w:val="Sarakstarindkopa"/>
        <w:spacing w:line="360" w:lineRule="auto"/>
        <w:ind w:left="567"/>
        <w:jc w:val="both"/>
        <w:rPr>
          <w:rFonts w:ascii="Times New Roman" w:hAnsi="Times New Roman" w:cs="Times New Roman"/>
          <w:sz w:val="24"/>
          <w:szCs w:val="24"/>
          <w:lang w:eastAsia="en-US"/>
        </w:rPr>
      </w:pP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600E42E5" w:rsidR="005007AD" w:rsidRDefault="005007AD" w:rsidP="005007AD">
            <w:pPr>
              <w:spacing w:line="276" w:lineRule="auto"/>
              <w:ind w:right="43"/>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C603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3999"/>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0E0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F7E7C"/>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E170F"/>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B6590"/>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6721E"/>
    <w:rsid w:val="00B75C25"/>
    <w:rsid w:val="00B75DDE"/>
    <w:rsid w:val="00B84C92"/>
    <w:rsid w:val="00B85075"/>
    <w:rsid w:val="00B86C95"/>
    <w:rsid w:val="00B909BB"/>
    <w:rsid w:val="00B92DA7"/>
    <w:rsid w:val="00B957C8"/>
    <w:rsid w:val="00B974BE"/>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551C"/>
    <w:rsid w:val="00C36DB1"/>
    <w:rsid w:val="00C37B6F"/>
    <w:rsid w:val="00C603C8"/>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276A"/>
    <w:rsid w:val="00E04536"/>
    <w:rsid w:val="00E073E9"/>
    <w:rsid w:val="00E13301"/>
    <w:rsid w:val="00E13EA6"/>
    <w:rsid w:val="00E14537"/>
    <w:rsid w:val="00E177FF"/>
    <w:rsid w:val="00E20CC1"/>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1D56"/>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77FB0"/>
    <w:rsid w:val="00F811F1"/>
    <w:rsid w:val="00F82357"/>
    <w:rsid w:val="00F91ACE"/>
    <w:rsid w:val="00F95D17"/>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12694</Words>
  <Characters>7237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2025-02-19T13:22:00Z</dcterms:created>
  <dcterms:modified xsi:type="dcterms:W3CDTF">2025-02-19T13:22:00Z</dcterms:modified>
</cp:coreProperties>
</file>