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2947" w14:textId="77777777" w:rsidR="00E72160" w:rsidRPr="00E72160" w:rsidRDefault="00020F59" w:rsidP="00E72160">
      <w:pPr>
        <w:spacing w:line="256" w:lineRule="auto"/>
        <w:jc w:val="center"/>
        <w:rPr>
          <w:rFonts w:eastAsia="Calibri"/>
          <w:b/>
          <w:szCs w:val="24"/>
          <w:u w:val="none"/>
        </w:rPr>
      </w:pPr>
      <w:r w:rsidRPr="00E72160">
        <w:rPr>
          <w:noProof/>
          <w:u w:val="none"/>
          <w:lang w:eastAsia="lv-LV"/>
        </w:rPr>
        <w:drawing>
          <wp:inline distT="0" distB="0" distL="0" distR="0" wp14:anchorId="5ED9CDA9" wp14:editId="64B3C21B">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DDB4050" w14:textId="77777777" w:rsidR="00E72160" w:rsidRPr="00E72160" w:rsidRDefault="00020F59" w:rsidP="00E72160">
      <w:pPr>
        <w:spacing w:line="256" w:lineRule="auto"/>
        <w:jc w:val="center"/>
        <w:rPr>
          <w:rFonts w:eastAsia="Calibri"/>
          <w:b/>
          <w:szCs w:val="24"/>
          <w:u w:val="none"/>
        </w:rPr>
      </w:pPr>
      <w:r w:rsidRPr="00E72160">
        <w:rPr>
          <w:rFonts w:eastAsia="Calibri"/>
          <w:b/>
          <w:szCs w:val="24"/>
          <w:u w:val="none"/>
        </w:rPr>
        <w:t>GULBENES  NOVADA  PAŠVALDĪBA</w:t>
      </w:r>
    </w:p>
    <w:p w14:paraId="0F3F2DC2" w14:textId="77777777" w:rsidR="00E72160" w:rsidRPr="00E72160" w:rsidRDefault="00020F59"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5CB2626" w14:textId="77777777" w:rsidR="00E72160" w:rsidRPr="00E72160" w:rsidRDefault="00020F59" w:rsidP="00E72160">
      <w:pPr>
        <w:spacing w:line="256" w:lineRule="auto"/>
        <w:jc w:val="center"/>
        <w:rPr>
          <w:rFonts w:eastAsia="Calibri"/>
          <w:szCs w:val="24"/>
          <w:u w:val="none"/>
        </w:rPr>
      </w:pPr>
      <w:r w:rsidRPr="00E72160">
        <w:rPr>
          <w:rFonts w:eastAsia="Calibri"/>
          <w:szCs w:val="24"/>
          <w:u w:val="none"/>
        </w:rPr>
        <w:t>Ābeļu iela 2, Gulbene, Gulbenes nov., LV-4401</w:t>
      </w:r>
    </w:p>
    <w:p w14:paraId="5D833BE5" w14:textId="77777777" w:rsidR="00E72160" w:rsidRPr="00E72160" w:rsidRDefault="00020F59"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30D89D5" w14:textId="359281EA" w:rsidR="000C7638" w:rsidRDefault="00020F59" w:rsidP="000C7638">
      <w:pPr>
        <w:jc w:val="center"/>
        <w:rPr>
          <w:b/>
          <w:szCs w:val="24"/>
          <w:u w:val="none"/>
        </w:rPr>
      </w:pPr>
      <w:r>
        <w:rPr>
          <w:b/>
          <w:noProof/>
          <w:szCs w:val="24"/>
          <w:u w:val="none"/>
        </w:rPr>
        <w:t>Sociālo un veselības jautājumu komiteja</w:t>
      </w:r>
      <w:r w:rsidR="00644BDE">
        <w:rPr>
          <w:b/>
          <w:noProof/>
          <w:szCs w:val="24"/>
          <w:u w:val="none"/>
        </w:rPr>
        <w:t>s</w:t>
      </w:r>
      <w:r w:rsidR="009F3D14">
        <w:rPr>
          <w:b/>
          <w:szCs w:val="24"/>
          <w:u w:val="none"/>
        </w:rPr>
        <w:t xml:space="preserve"> PROTOKOLS</w:t>
      </w:r>
    </w:p>
    <w:p w14:paraId="496D8353" w14:textId="1C8766A4" w:rsidR="000C7638" w:rsidRPr="00FA4586" w:rsidRDefault="00644BDE" w:rsidP="00FA4586">
      <w:pPr>
        <w:jc w:val="center"/>
        <w:rPr>
          <w:u w:val="none"/>
        </w:rPr>
      </w:pPr>
      <w:r>
        <w:rPr>
          <w:u w:val="none"/>
        </w:rPr>
        <w:t>Centrālās pārvaldes</w:t>
      </w:r>
      <w:r w:rsidR="00020F59" w:rsidRPr="00FA4586">
        <w:rPr>
          <w:u w:val="none"/>
        </w:rPr>
        <w:t xml:space="preserve"> ēka, Ābeļu iela 2, Gulbene, atklāta sēde</w:t>
      </w:r>
    </w:p>
    <w:p w14:paraId="0953E3EB" w14:textId="77777777" w:rsidR="00FA4586" w:rsidRPr="005842C7" w:rsidRDefault="00FA4586" w:rsidP="000C7638">
      <w:pPr>
        <w:rPr>
          <w:szCs w:val="24"/>
          <w:u w:val="none"/>
        </w:rPr>
      </w:pPr>
    </w:p>
    <w:p w14:paraId="725B5CE6" w14:textId="4527982B" w:rsidR="000C7638" w:rsidRPr="00644BDE" w:rsidRDefault="00020F59" w:rsidP="000C7638">
      <w:pPr>
        <w:rPr>
          <w:b/>
          <w:bCs/>
          <w:szCs w:val="24"/>
          <w:u w:val="none"/>
        </w:rPr>
      </w:pPr>
      <w:r w:rsidRPr="00644BDE">
        <w:rPr>
          <w:b/>
          <w:bCs/>
          <w:noProof/>
          <w:szCs w:val="24"/>
          <w:u w:val="none"/>
        </w:rPr>
        <w:t>2025. gada 19. februār</w:t>
      </w:r>
      <w:r w:rsidR="00644BDE" w:rsidRPr="00644BDE">
        <w:rPr>
          <w:b/>
          <w:bCs/>
          <w:noProof/>
          <w:szCs w:val="24"/>
          <w:u w:val="none"/>
        </w:rPr>
        <w:t>ī</w:t>
      </w:r>
      <w:r w:rsidR="00B21256" w:rsidRPr="00644BDE">
        <w:rPr>
          <w:b/>
          <w:bCs/>
          <w:szCs w:val="24"/>
          <w:u w:val="none"/>
        </w:rPr>
        <w:t xml:space="preserve">   </w:t>
      </w:r>
      <w:r w:rsidR="004004BE" w:rsidRPr="00644BDE">
        <w:rPr>
          <w:b/>
          <w:bCs/>
          <w:szCs w:val="24"/>
          <w:u w:val="none"/>
        </w:rPr>
        <w:t xml:space="preserve">                                </w:t>
      </w:r>
      <w:r w:rsidR="00644BDE">
        <w:rPr>
          <w:b/>
          <w:bCs/>
          <w:szCs w:val="24"/>
          <w:u w:val="none"/>
        </w:rPr>
        <w:tab/>
      </w:r>
      <w:r w:rsidR="00644BDE">
        <w:rPr>
          <w:b/>
          <w:bCs/>
          <w:szCs w:val="24"/>
          <w:u w:val="none"/>
        </w:rPr>
        <w:tab/>
      </w:r>
      <w:r w:rsidR="00644BDE">
        <w:rPr>
          <w:b/>
          <w:bCs/>
          <w:szCs w:val="24"/>
          <w:u w:val="none"/>
        </w:rPr>
        <w:tab/>
      </w:r>
      <w:r w:rsidR="00644BDE">
        <w:rPr>
          <w:b/>
          <w:bCs/>
          <w:szCs w:val="24"/>
          <w:u w:val="none"/>
        </w:rPr>
        <w:tab/>
      </w:r>
      <w:r w:rsidR="00644BDE">
        <w:rPr>
          <w:b/>
          <w:bCs/>
          <w:szCs w:val="24"/>
          <w:u w:val="none"/>
        </w:rPr>
        <w:tab/>
      </w:r>
      <w:r w:rsidR="00644BDE">
        <w:rPr>
          <w:b/>
          <w:bCs/>
          <w:szCs w:val="24"/>
          <w:u w:val="none"/>
        </w:rPr>
        <w:tab/>
      </w:r>
      <w:r w:rsidR="00B21256" w:rsidRPr="00644BDE">
        <w:rPr>
          <w:b/>
          <w:bCs/>
          <w:szCs w:val="24"/>
          <w:u w:val="none"/>
        </w:rPr>
        <w:t>Nr.</w:t>
      </w:r>
      <w:r w:rsidR="004004BE" w:rsidRPr="00644BDE">
        <w:rPr>
          <w:b/>
          <w:bCs/>
          <w:szCs w:val="24"/>
          <w:u w:val="none"/>
        </w:rPr>
        <w:t xml:space="preserve"> </w:t>
      </w:r>
      <w:r w:rsidR="004004BE" w:rsidRPr="00644BDE">
        <w:rPr>
          <w:b/>
          <w:bCs/>
          <w:noProof/>
          <w:szCs w:val="24"/>
          <w:u w:val="none"/>
        </w:rPr>
        <w:t>1</w:t>
      </w:r>
    </w:p>
    <w:p w14:paraId="3607DC0A" w14:textId="77777777" w:rsidR="00B21256" w:rsidRPr="005842C7" w:rsidRDefault="00B21256" w:rsidP="000C7638">
      <w:pPr>
        <w:rPr>
          <w:szCs w:val="24"/>
          <w:u w:val="none"/>
        </w:rPr>
      </w:pPr>
    </w:p>
    <w:p w14:paraId="66914878" w14:textId="0ED6CAC7" w:rsidR="000C7638" w:rsidRPr="005842C7" w:rsidRDefault="00020F59" w:rsidP="00F07D9B">
      <w:pPr>
        <w:spacing w:line="360" w:lineRule="auto"/>
        <w:rPr>
          <w:szCs w:val="24"/>
          <w:u w:val="none"/>
        </w:rPr>
      </w:pPr>
      <w:r>
        <w:rPr>
          <w:szCs w:val="24"/>
          <w:u w:val="none"/>
        </w:rPr>
        <w:t>S</w:t>
      </w:r>
      <w:r w:rsidRPr="005842C7">
        <w:rPr>
          <w:szCs w:val="24"/>
          <w:u w:val="none"/>
        </w:rPr>
        <w:t xml:space="preserve">ēde sasaukta </w:t>
      </w:r>
      <w:r w:rsidR="00644BDE">
        <w:rPr>
          <w:szCs w:val="24"/>
          <w:u w:val="none"/>
        </w:rPr>
        <w:t>2025.gada 17.februārī plkst</w:t>
      </w:r>
      <w:r w:rsidRPr="005842C7">
        <w:rPr>
          <w:szCs w:val="24"/>
          <w:u w:val="none"/>
        </w:rPr>
        <w:t>.</w:t>
      </w:r>
      <w:r w:rsidR="00156F62" w:rsidRPr="00156F62">
        <w:rPr>
          <w:u w:val="none"/>
        </w:rPr>
        <w:t xml:space="preserve"> </w:t>
      </w:r>
      <w:r w:rsidR="00E32D61">
        <w:rPr>
          <w:noProof/>
          <w:u w:val="none"/>
        </w:rPr>
        <w:t>0</w:t>
      </w:r>
      <w:r w:rsidR="00644BDE">
        <w:rPr>
          <w:noProof/>
          <w:u w:val="none"/>
        </w:rPr>
        <w:t>8</w:t>
      </w:r>
      <w:r w:rsidR="00E32D61">
        <w:rPr>
          <w:noProof/>
          <w:u w:val="none"/>
        </w:rPr>
        <w:t>:</w:t>
      </w:r>
      <w:r w:rsidR="00644BDE">
        <w:rPr>
          <w:noProof/>
          <w:u w:val="none"/>
        </w:rPr>
        <w:t>52</w:t>
      </w:r>
    </w:p>
    <w:p w14:paraId="6E95FF74" w14:textId="7111E2D1" w:rsidR="000C7638" w:rsidRPr="005842C7" w:rsidRDefault="00020F59" w:rsidP="00644BDE">
      <w:pPr>
        <w:spacing w:line="360" w:lineRule="auto"/>
        <w:jc w:val="both"/>
        <w:rPr>
          <w:szCs w:val="24"/>
          <w:u w:val="none"/>
        </w:rPr>
      </w:pPr>
      <w:r>
        <w:rPr>
          <w:szCs w:val="24"/>
          <w:u w:val="none"/>
        </w:rPr>
        <w:t>S</w:t>
      </w:r>
      <w:r w:rsidRPr="005842C7">
        <w:rPr>
          <w:szCs w:val="24"/>
          <w:u w:val="none"/>
        </w:rPr>
        <w:t xml:space="preserve">ēdi atklāj </w:t>
      </w:r>
      <w:r w:rsidR="00644BDE">
        <w:rPr>
          <w:szCs w:val="24"/>
          <w:u w:val="none"/>
        </w:rPr>
        <w:t>2025.gada 1</w:t>
      </w:r>
      <w:r w:rsidR="00644BDE">
        <w:rPr>
          <w:szCs w:val="24"/>
          <w:u w:val="none"/>
        </w:rPr>
        <w:t>9</w:t>
      </w:r>
      <w:r w:rsidR="00644BDE">
        <w:rPr>
          <w:szCs w:val="24"/>
          <w:u w:val="none"/>
        </w:rPr>
        <w:t xml:space="preserve">.februārī </w:t>
      </w:r>
      <w:r w:rsidRPr="005842C7">
        <w:rPr>
          <w:szCs w:val="24"/>
          <w:u w:val="none"/>
        </w:rPr>
        <w:t>plkst.</w:t>
      </w:r>
      <w:r w:rsidR="00156F62">
        <w:rPr>
          <w:szCs w:val="24"/>
          <w:u w:val="none"/>
        </w:rPr>
        <w:t xml:space="preserve"> </w:t>
      </w:r>
      <w:r w:rsidR="00156F62" w:rsidRPr="00E32D61">
        <w:rPr>
          <w:noProof/>
          <w:szCs w:val="24"/>
          <w:u w:val="none"/>
        </w:rPr>
        <w:t>08:57</w:t>
      </w:r>
      <w:r w:rsidR="001D3C2D" w:rsidRPr="001D3C2D">
        <w:t xml:space="preserve"> </w:t>
      </w:r>
    </w:p>
    <w:p w14:paraId="531355A3" w14:textId="77777777" w:rsidR="00644BDE" w:rsidRDefault="00644BDE" w:rsidP="00644BDE">
      <w:pPr>
        <w:spacing w:line="360" w:lineRule="auto"/>
        <w:jc w:val="both"/>
        <w:rPr>
          <w:szCs w:val="24"/>
          <w:u w:val="none"/>
        </w:rPr>
      </w:pPr>
      <w:r w:rsidRPr="00516961">
        <w:rPr>
          <w:b/>
          <w:szCs w:val="24"/>
          <w:u w:val="none"/>
        </w:rPr>
        <w:t>Sēdi vada</w:t>
      </w:r>
      <w:r>
        <w:rPr>
          <w:szCs w:val="24"/>
          <w:u w:val="none"/>
        </w:rPr>
        <w:t xml:space="preserve"> - </w:t>
      </w:r>
      <w:r w:rsidRPr="00EB1246">
        <w:rPr>
          <w:szCs w:val="24"/>
          <w:u w:val="none"/>
        </w:rPr>
        <w:t>Sociālo un veselības jautājumu komitejas priekšsēdētājs Anatolijs Savickis</w:t>
      </w:r>
    </w:p>
    <w:p w14:paraId="27C935C4" w14:textId="77777777" w:rsidR="00644BDE" w:rsidRDefault="00644BDE" w:rsidP="00644BDE">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6D207B17" w14:textId="6E70F8A2" w:rsidR="00644BDE" w:rsidRDefault="00644BDE" w:rsidP="00644BDE">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szCs w:val="24"/>
          <w:u w:val="none"/>
        </w:rPr>
        <w:t xml:space="preserve">Aivars </w:t>
      </w:r>
      <w:proofErr w:type="spellStart"/>
      <w:r>
        <w:rPr>
          <w:szCs w:val="24"/>
          <w:u w:val="none"/>
        </w:rPr>
        <w:t>Circens</w:t>
      </w:r>
      <w:proofErr w:type="spellEnd"/>
      <w:r>
        <w:rPr>
          <w:szCs w:val="24"/>
          <w:u w:val="none"/>
        </w:rPr>
        <w:t xml:space="preserve">, Atis </w:t>
      </w:r>
      <w:proofErr w:type="spellStart"/>
      <w:r>
        <w:rPr>
          <w:szCs w:val="24"/>
          <w:u w:val="none"/>
        </w:rPr>
        <w:t>Jencītis</w:t>
      </w:r>
      <w:proofErr w:type="spellEnd"/>
      <w:r>
        <w:rPr>
          <w:szCs w:val="24"/>
          <w:u w:val="none"/>
        </w:rPr>
        <w:t xml:space="preserve">, Guna </w:t>
      </w:r>
      <w:proofErr w:type="spellStart"/>
      <w:r>
        <w:rPr>
          <w:szCs w:val="24"/>
          <w:u w:val="none"/>
        </w:rPr>
        <w:t>Švika</w:t>
      </w:r>
      <w:proofErr w:type="spellEnd"/>
      <w:r>
        <w:rPr>
          <w:szCs w:val="24"/>
          <w:u w:val="none"/>
        </w:rPr>
        <w:t xml:space="preserve">, Mudīte </w:t>
      </w:r>
      <w:proofErr w:type="spellStart"/>
      <w:r>
        <w:rPr>
          <w:szCs w:val="24"/>
          <w:u w:val="none"/>
        </w:rPr>
        <w:t>Motivāne</w:t>
      </w:r>
      <w:proofErr w:type="spellEnd"/>
      <w:r>
        <w:rPr>
          <w:szCs w:val="24"/>
          <w:u w:val="none"/>
        </w:rPr>
        <w:t>.</w:t>
      </w:r>
    </w:p>
    <w:p w14:paraId="121F07DC" w14:textId="5B67CD2B" w:rsidR="00644BDE" w:rsidRDefault="00644BDE" w:rsidP="00644BDE">
      <w:pPr>
        <w:spacing w:line="360" w:lineRule="auto"/>
        <w:jc w:val="both"/>
        <w:rPr>
          <w:szCs w:val="24"/>
          <w:u w:val="none"/>
        </w:rPr>
      </w:pPr>
      <w:r>
        <w:rPr>
          <w:b/>
          <w:szCs w:val="24"/>
          <w:u w:val="none"/>
        </w:rPr>
        <w:t>Nepiedalās d</w:t>
      </w:r>
      <w:r>
        <w:rPr>
          <w:b/>
          <w:bCs/>
          <w:szCs w:val="24"/>
          <w:u w:val="none"/>
        </w:rPr>
        <w:t>eputāti (komitejas locekļi)</w:t>
      </w:r>
      <w:r>
        <w:rPr>
          <w:szCs w:val="24"/>
          <w:u w:val="none"/>
        </w:rPr>
        <w:t xml:space="preserve">: Normunds </w:t>
      </w:r>
      <w:proofErr w:type="spellStart"/>
      <w:r>
        <w:rPr>
          <w:szCs w:val="24"/>
          <w:u w:val="none"/>
        </w:rPr>
        <w:t>Audzišs</w:t>
      </w:r>
      <w:proofErr w:type="spellEnd"/>
      <w:r>
        <w:rPr>
          <w:szCs w:val="24"/>
          <w:u w:val="none"/>
        </w:rPr>
        <w:t xml:space="preserve">, </w:t>
      </w:r>
      <w:r>
        <w:rPr>
          <w:szCs w:val="24"/>
          <w:u w:val="none"/>
        </w:rPr>
        <w:t xml:space="preserve">Ivars </w:t>
      </w:r>
      <w:proofErr w:type="spellStart"/>
      <w:r>
        <w:rPr>
          <w:szCs w:val="24"/>
          <w:u w:val="none"/>
        </w:rPr>
        <w:t>Kupčs</w:t>
      </w:r>
      <w:proofErr w:type="spellEnd"/>
      <w:r>
        <w:rPr>
          <w:szCs w:val="24"/>
          <w:u w:val="none"/>
        </w:rPr>
        <w:t>.</w:t>
      </w:r>
    </w:p>
    <w:p w14:paraId="206598A8" w14:textId="77777777" w:rsidR="00644BDE" w:rsidRDefault="00644BDE" w:rsidP="00644BDE">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sidRPr="00347CB8">
        <w:rPr>
          <w:bCs/>
          <w:szCs w:val="24"/>
          <w:u w:val="none"/>
        </w:rPr>
        <w:t>,</w:t>
      </w:r>
      <w:r>
        <w:rPr>
          <w:b/>
          <w:szCs w:val="24"/>
          <w:u w:val="none"/>
        </w:rPr>
        <w:t xml:space="preserve"> </w:t>
      </w:r>
      <w:r>
        <w:rPr>
          <w:bCs/>
          <w:szCs w:val="24"/>
          <w:u w:val="none"/>
        </w:rPr>
        <w:t>skatīt sarakstu pielikumā</w:t>
      </w:r>
      <w:r>
        <w:rPr>
          <w:b/>
          <w:szCs w:val="24"/>
          <w:u w:val="none"/>
        </w:rPr>
        <w:t xml:space="preserve"> </w:t>
      </w:r>
    </w:p>
    <w:p w14:paraId="749E25D7" w14:textId="77777777" w:rsidR="00644BDE" w:rsidRDefault="00644BDE" w:rsidP="00644BDE">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721EADE0" w14:textId="77777777" w:rsidR="00644BDE" w:rsidRPr="00644BDE" w:rsidRDefault="00644BDE" w:rsidP="00644BDE">
      <w:pPr>
        <w:spacing w:line="276" w:lineRule="auto"/>
        <w:jc w:val="both"/>
        <w:rPr>
          <w:color w:val="1F497D" w:themeColor="text2"/>
          <w:u w:val="none"/>
        </w:rPr>
      </w:pPr>
      <w:r w:rsidRPr="00644BDE">
        <w:rPr>
          <w:i/>
          <w:iCs/>
          <w:color w:val="1F497D" w:themeColor="text2"/>
          <w:u w:val="none"/>
        </w:rPr>
        <w:t>Komitejas sēdei tika veikts videoieraksts, pieejams</w:t>
      </w:r>
      <w:r w:rsidRPr="00644BDE">
        <w:rPr>
          <w:color w:val="1F497D" w:themeColor="text2"/>
          <w:u w:val="none"/>
        </w:rPr>
        <w:t xml:space="preserve"> :</w:t>
      </w:r>
    </w:p>
    <w:p w14:paraId="23E20A01" w14:textId="732FD5C6" w:rsidR="00175B54" w:rsidRDefault="00175B54" w:rsidP="00644BDE">
      <w:pPr>
        <w:spacing w:line="276" w:lineRule="auto"/>
        <w:rPr>
          <w:color w:val="1F497D" w:themeColor="text2"/>
        </w:rPr>
      </w:pPr>
      <w:hyperlink r:id="rId11" w:history="1">
        <w:r w:rsidRPr="00A65F33">
          <w:rPr>
            <w:rStyle w:val="Hipersaite"/>
          </w:rPr>
          <w:t>https://drive.google.com/drive/u/0/folders/1RTppkpugh0K-z4Kc65iVqSAXmaV_rNLG</w:t>
        </w:r>
      </w:hyperlink>
    </w:p>
    <w:p w14:paraId="369F0A4F" w14:textId="0F149698" w:rsidR="00644BDE" w:rsidRPr="00644BDE" w:rsidRDefault="00644BDE" w:rsidP="00644BDE">
      <w:pPr>
        <w:spacing w:line="276" w:lineRule="auto"/>
        <w:rPr>
          <w:color w:val="1F497D" w:themeColor="text2"/>
          <w:u w:val="none"/>
        </w:rPr>
      </w:pPr>
      <w:r w:rsidRPr="00644BDE">
        <w:rPr>
          <w:color w:val="1F497D" w:themeColor="text2"/>
          <w:u w:val="none"/>
        </w:rPr>
        <w:t>Sociālo un veselības jautājumu komiteja – 202</w:t>
      </w:r>
      <w:r w:rsidRPr="00644BDE">
        <w:rPr>
          <w:color w:val="1F497D" w:themeColor="text2"/>
          <w:u w:val="none"/>
        </w:rPr>
        <w:t>5</w:t>
      </w:r>
      <w:r w:rsidRPr="00644BDE">
        <w:rPr>
          <w:color w:val="1F497D" w:themeColor="text2"/>
          <w:u w:val="none"/>
        </w:rPr>
        <w:t>/</w:t>
      </w:r>
      <w:r w:rsidRPr="00644BDE">
        <w:rPr>
          <w:color w:val="1F497D" w:themeColor="text2"/>
          <w:u w:val="none"/>
        </w:rPr>
        <w:t>02</w:t>
      </w:r>
      <w:r w:rsidRPr="00644BDE">
        <w:rPr>
          <w:color w:val="1F497D" w:themeColor="text2"/>
          <w:u w:val="none"/>
        </w:rPr>
        <w:t>/</w:t>
      </w:r>
      <w:r w:rsidRPr="00644BDE">
        <w:rPr>
          <w:color w:val="1F497D" w:themeColor="text2"/>
          <w:u w:val="none"/>
        </w:rPr>
        <w:t>19</w:t>
      </w:r>
      <w:r w:rsidRPr="00644BDE">
        <w:rPr>
          <w:color w:val="1F497D" w:themeColor="text2"/>
          <w:u w:val="none"/>
        </w:rPr>
        <w:t xml:space="preserve"> 08:</w:t>
      </w:r>
      <w:r w:rsidRPr="00644BDE">
        <w:rPr>
          <w:color w:val="1F497D" w:themeColor="text2"/>
          <w:u w:val="none"/>
        </w:rPr>
        <w:t>30</w:t>
      </w:r>
      <w:r w:rsidRPr="00644BDE">
        <w:rPr>
          <w:color w:val="1F497D" w:themeColor="text2"/>
          <w:u w:val="none"/>
        </w:rPr>
        <w:t xml:space="preserve"> EET — </w:t>
      </w:r>
      <w:proofErr w:type="spellStart"/>
      <w:r w:rsidRPr="00644BDE">
        <w:rPr>
          <w:color w:val="1F497D" w:themeColor="text2"/>
          <w:u w:val="none"/>
        </w:rPr>
        <w:t>Recording</w:t>
      </w:r>
      <w:proofErr w:type="spellEnd"/>
      <w:r w:rsidRPr="00644BDE">
        <w:rPr>
          <w:color w:val="1F497D" w:themeColor="text2"/>
          <w:u w:val="none"/>
        </w:rPr>
        <w:t xml:space="preserve">, </w:t>
      </w:r>
      <w:r w:rsidRPr="00644BDE">
        <w:rPr>
          <w:color w:val="1F497D" w:themeColor="text2"/>
          <w:u w:val="none"/>
        </w:rPr>
        <w:t>1</w:t>
      </w:r>
      <w:r w:rsidR="00175B54">
        <w:rPr>
          <w:color w:val="1F497D" w:themeColor="text2"/>
          <w:u w:val="none"/>
        </w:rPr>
        <w:t>07,8</w:t>
      </w:r>
      <w:r w:rsidRPr="00644BDE">
        <w:rPr>
          <w:color w:val="1F497D" w:themeColor="text2"/>
          <w:u w:val="none"/>
        </w:rPr>
        <w:t xml:space="preserve"> </w:t>
      </w:r>
      <w:r w:rsidR="00175B54">
        <w:rPr>
          <w:color w:val="1F497D" w:themeColor="text2"/>
          <w:u w:val="none"/>
        </w:rPr>
        <w:t>M</w:t>
      </w:r>
      <w:r w:rsidRPr="00644BDE">
        <w:rPr>
          <w:color w:val="1F497D" w:themeColor="text2"/>
          <w:u w:val="none"/>
        </w:rPr>
        <w:t>B</w:t>
      </w:r>
    </w:p>
    <w:p w14:paraId="0E5B3E63" w14:textId="77777777" w:rsidR="00644BDE" w:rsidRPr="00347CB8" w:rsidRDefault="00644BDE" w:rsidP="00644BDE">
      <w:pPr>
        <w:spacing w:line="276" w:lineRule="auto"/>
        <w:rPr>
          <w:color w:val="004E9A"/>
          <w:u w:val="none"/>
        </w:rPr>
      </w:pPr>
    </w:p>
    <w:p w14:paraId="4B5B49D9" w14:textId="77777777" w:rsidR="00507EB1" w:rsidRDefault="00507EB1" w:rsidP="00F07D9B">
      <w:pPr>
        <w:rPr>
          <w:u w:val="none"/>
        </w:rPr>
      </w:pPr>
    </w:p>
    <w:p w14:paraId="082CF5BC" w14:textId="0050CEEE" w:rsidR="000C7638" w:rsidRPr="00644BDE" w:rsidRDefault="00644BDE" w:rsidP="00F07D9B">
      <w:pPr>
        <w:spacing w:line="360" w:lineRule="auto"/>
        <w:rPr>
          <w:b/>
          <w:szCs w:val="24"/>
          <w:u w:val="none"/>
        </w:rPr>
      </w:pPr>
      <w:r w:rsidRPr="00644BDE">
        <w:rPr>
          <w:b/>
          <w:szCs w:val="24"/>
          <w:u w:val="none"/>
        </w:rPr>
        <w:t>DARBA KĀRTĪBA:</w:t>
      </w:r>
    </w:p>
    <w:p w14:paraId="3FDBCFFD" w14:textId="77777777" w:rsidR="00653AE0" w:rsidRPr="00644BDE" w:rsidRDefault="00020F59" w:rsidP="00644BDE">
      <w:pPr>
        <w:spacing w:before="60"/>
        <w:jc w:val="both"/>
        <w:rPr>
          <w:b/>
          <w:bCs/>
          <w:color w:val="000000" w:themeColor="text1"/>
          <w:szCs w:val="24"/>
          <w:u w:val="none"/>
        </w:rPr>
      </w:pPr>
      <w:r w:rsidRPr="00644BDE">
        <w:rPr>
          <w:b/>
          <w:bCs/>
          <w:noProof/>
          <w:color w:val="000000" w:themeColor="text1"/>
          <w:szCs w:val="24"/>
          <w:u w:val="none"/>
        </w:rPr>
        <w:t>0</w:t>
      </w:r>
      <w:r w:rsidRPr="00644BDE">
        <w:rPr>
          <w:b/>
          <w:bCs/>
          <w:color w:val="000000" w:themeColor="text1"/>
          <w:szCs w:val="24"/>
          <w:u w:val="none"/>
        </w:rPr>
        <w:t xml:space="preserve">. </w:t>
      </w:r>
      <w:r w:rsidRPr="00644BDE">
        <w:rPr>
          <w:b/>
          <w:bCs/>
          <w:noProof/>
          <w:color w:val="000000" w:themeColor="text1"/>
          <w:szCs w:val="24"/>
          <w:u w:val="none"/>
        </w:rPr>
        <w:t>Par darba kārtības apstiprināšanu</w:t>
      </w:r>
    </w:p>
    <w:p w14:paraId="6EC6FA91" w14:textId="77777777" w:rsidR="00653AE0" w:rsidRPr="00644BDE" w:rsidRDefault="00020F59" w:rsidP="00644BDE">
      <w:pPr>
        <w:spacing w:before="60"/>
        <w:jc w:val="both"/>
        <w:rPr>
          <w:b/>
          <w:bCs/>
          <w:color w:val="000000" w:themeColor="text1"/>
          <w:szCs w:val="24"/>
          <w:u w:val="none"/>
        </w:rPr>
      </w:pPr>
      <w:r w:rsidRPr="00644BDE">
        <w:rPr>
          <w:b/>
          <w:bCs/>
          <w:noProof/>
          <w:color w:val="000000" w:themeColor="text1"/>
          <w:szCs w:val="24"/>
          <w:u w:val="none"/>
        </w:rPr>
        <w:t>1</w:t>
      </w:r>
      <w:r w:rsidRPr="00644BDE">
        <w:rPr>
          <w:b/>
          <w:bCs/>
          <w:color w:val="000000" w:themeColor="text1"/>
          <w:szCs w:val="24"/>
          <w:u w:val="none"/>
        </w:rPr>
        <w:t xml:space="preserve">. </w:t>
      </w:r>
      <w:r w:rsidRPr="00644BDE">
        <w:rPr>
          <w:b/>
          <w:bCs/>
          <w:noProof/>
          <w:color w:val="000000" w:themeColor="text1"/>
          <w:szCs w:val="24"/>
          <w:u w:val="none"/>
        </w:rPr>
        <w:t>Par Gulbenes novada pašvaldības domes 2025.gada 27.februāra saistošo noteikumu Nr.__</w:t>
      </w:r>
    </w:p>
    <w:p w14:paraId="62878ED3" w14:textId="77777777" w:rsidR="00653AE0" w:rsidRPr="00644BDE" w:rsidRDefault="00020F59" w:rsidP="00644BDE">
      <w:pPr>
        <w:spacing w:before="60"/>
        <w:jc w:val="both"/>
        <w:rPr>
          <w:b/>
          <w:bCs/>
          <w:color w:val="000000" w:themeColor="text1"/>
          <w:szCs w:val="24"/>
          <w:u w:val="none"/>
        </w:rPr>
      </w:pPr>
      <w:r w:rsidRPr="00644BDE">
        <w:rPr>
          <w:b/>
          <w:bCs/>
          <w:noProof/>
          <w:color w:val="000000" w:themeColor="text1"/>
          <w:szCs w:val="24"/>
          <w:u w:val="none"/>
        </w:rPr>
        <w:t xml:space="preserve"> “Grozījums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 izdošanu</w:t>
      </w:r>
    </w:p>
    <w:p w14:paraId="057F2220" w14:textId="77777777" w:rsidR="00360A3B" w:rsidRPr="0016506D" w:rsidRDefault="00360A3B" w:rsidP="000C7638">
      <w:pPr>
        <w:rPr>
          <w:szCs w:val="24"/>
          <w:u w:val="none"/>
        </w:rPr>
      </w:pPr>
    </w:p>
    <w:p w14:paraId="165C5329" w14:textId="77777777" w:rsidR="0032517B" w:rsidRPr="00575A1B" w:rsidRDefault="00020F59"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EEF0942" w14:textId="77777777" w:rsidR="00575A1B" w:rsidRPr="00DE7201" w:rsidRDefault="00020F59"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343201C" w14:textId="77777777" w:rsidR="00575A1B" w:rsidRDefault="00020F59"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133CB2F" w14:textId="77777777" w:rsidR="00CA2A8B" w:rsidRDefault="00020F59"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B068AF6" w14:textId="344D37B2" w:rsidR="00E264AD" w:rsidRPr="00575A1B" w:rsidRDefault="00020F59" w:rsidP="00575A1B">
      <w:pPr>
        <w:rPr>
          <w:rFonts w:eastAsia="Calibri"/>
          <w:szCs w:val="24"/>
          <w:u w:val="none"/>
        </w:rPr>
      </w:pPr>
      <w:r>
        <w:rPr>
          <w:rFonts w:eastAsia="Calibri"/>
          <w:szCs w:val="24"/>
          <w:u w:val="none"/>
        </w:rPr>
        <w:t xml:space="preserve">DEBATĒS PIEDALĀS: </w:t>
      </w:r>
      <w:r w:rsidR="00644BDE">
        <w:rPr>
          <w:rFonts w:eastAsia="Calibri"/>
          <w:szCs w:val="24"/>
          <w:u w:val="none"/>
        </w:rPr>
        <w:t>nav</w:t>
      </w:r>
    </w:p>
    <w:p w14:paraId="14F6EBA7" w14:textId="77777777" w:rsidR="00575A1B" w:rsidRDefault="00575A1B" w:rsidP="000C7638">
      <w:pPr>
        <w:rPr>
          <w:u w:val="none"/>
        </w:rPr>
      </w:pPr>
    </w:p>
    <w:p w14:paraId="5FBB20DC" w14:textId="77777777" w:rsidR="00114990" w:rsidRDefault="00020F59" w:rsidP="00175B54">
      <w:pPr>
        <w:widowControl w:val="0"/>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28E884CB" w14:textId="77777777" w:rsidR="00B24B3A" w:rsidRDefault="00020F59" w:rsidP="00175B54">
      <w:pPr>
        <w:widowControl w:val="0"/>
        <w:spacing w:line="360" w:lineRule="auto"/>
        <w:ind w:firstLine="567"/>
        <w:jc w:val="both"/>
        <w:rPr>
          <w:u w:val="none"/>
        </w:rPr>
      </w:pPr>
      <w:r w:rsidRPr="0016506D">
        <w:rPr>
          <w:noProof/>
          <w:u w:val="none"/>
        </w:rPr>
        <w:t>ar 5 balsīm "Par" (Aivars Circens, Anatolijs Savickis, Atis Jencītis, Guna Švika, Mudīte Motivāne), "Pret" – nav, "Atturas" – nav, "Nepiedalās" – nav</w:t>
      </w:r>
      <w:r>
        <w:rPr>
          <w:u w:val="none"/>
        </w:rPr>
        <w:t xml:space="preserve">, </w:t>
      </w:r>
      <w:r w:rsidR="00E966B9">
        <w:rPr>
          <w:u w:val="none"/>
        </w:rPr>
        <w:t>NOLEMJ</w:t>
      </w:r>
      <w:r w:rsidR="00114990" w:rsidRPr="00B24B3A">
        <w:rPr>
          <w:u w:val="none"/>
        </w:rPr>
        <w:t>:</w:t>
      </w:r>
    </w:p>
    <w:p w14:paraId="409F19C0" w14:textId="70E505D4" w:rsidR="00644BDE" w:rsidRDefault="00644BDE" w:rsidP="00175B54">
      <w:pPr>
        <w:widowControl w:val="0"/>
        <w:spacing w:line="360" w:lineRule="auto"/>
        <w:ind w:firstLine="567"/>
        <w:jc w:val="both"/>
        <w:rPr>
          <w:noProof/>
          <w:u w:val="none"/>
        </w:rPr>
      </w:pPr>
      <w:r>
        <w:rPr>
          <w:noProof/>
          <w:u w:val="none"/>
        </w:rPr>
        <w:lastRenderedPageBreak/>
        <w:t>APSTIPRINĀT 202</w:t>
      </w:r>
      <w:r>
        <w:rPr>
          <w:noProof/>
          <w:u w:val="none"/>
        </w:rPr>
        <w:t>5</w:t>
      </w:r>
      <w:r>
        <w:rPr>
          <w:noProof/>
          <w:u w:val="none"/>
        </w:rPr>
        <w:t xml:space="preserve">.gada </w:t>
      </w:r>
      <w:r>
        <w:rPr>
          <w:noProof/>
          <w:u w:val="none"/>
        </w:rPr>
        <w:t>19.februāra</w:t>
      </w:r>
      <w:r>
        <w:rPr>
          <w:noProof/>
          <w:u w:val="none"/>
        </w:rPr>
        <w:t xml:space="preserve"> Sociālo un veselības jautājumu komitejas darba kārtību.</w:t>
      </w:r>
    </w:p>
    <w:p w14:paraId="29ACE636" w14:textId="77777777" w:rsidR="00203C2F" w:rsidRDefault="00203C2F" w:rsidP="000C7638">
      <w:pPr>
        <w:rPr>
          <w:color w:val="000000" w:themeColor="text1"/>
          <w:szCs w:val="24"/>
          <w:u w:val="none"/>
        </w:rPr>
      </w:pPr>
    </w:p>
    <w:p w14:paraId="69085FFC" w14:textId="77777777" w:rsidR="0032517B" w:rsidRPr="00575A1B" w:rsidRDefault="00020F59"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157337F" w14:textId="77777777" w:rsidR="00575A1B" w:rsidRPr="00DE7201" w:rsidRDefault="00020F59"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27.februāra saistošo noteikumu Nr.__</w:t>
      </w:r>
    </w:p>
    <w:p w14:paraId="095F46AA" w14:textId="77777777" w:rsidR="00575A1B" w:rsidRPr="00DE7201" w:rsidRDefault="00020F59" w:rsidP="00DE7201">
      <w:pPr>
        <w:pBdr>
          <w:bottom w:val="single" w:sz="12" w:space="0" w:color="auto"/>
        </w:pBdr>
        <w:jc w:val="center"/>
        <w:rPr>
          <w:rFonts w:eastAsia="Calibri"/>
          <w:b/>
          <w:szCs w:val="24"/>
          <w:u w:val="none"/>
        </w:rPr>
      </w:pPr>
      <w:r w:rsidRPr="00DE7201">
        <w:rPr>
          <w:rFonts w:eastAsia="Calibri"/>
          <w:b/>
          <w:noProof/>
          <w:szCs w:val="24"/>
          <w:u w:val="none"/>
        </w:rPr>
        <w:t xml:space="preserve"> “Grozījums Gulbenes novada pašvaldības domes 2024.gada 30.maija saistošajos noteikumos Nr.9 “Par Gulbenes novada pašvaldības materiālās palīdzības pabalstiem bārenim un bez vecāku gādības palikušam bērnam pēc pilngadības sasniegšanas un ārpusģimenes aprūpes izbeigšanās, un audžuģimenei vai specializētajai audžuģimenei”” izdošanu</w:t>
      </w:r>
    </w:p>
    <w:p w14:paraId="27268BBA" w14:textId="77777777" w:rsidR="00575A1B" w:rsidRDefault="00020F59"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0CCB24BE" w14:textId="77777777" w:rsidR="00CA2A8B" w:rsidRDefault="00020F59"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684D57C3" w14:textId="2CD0702D" w:rsidR="00E264AD" w:rsidRPr="00575A1B" w:rsidRDefault="00020F59" w:rsidP="00575A1B">
      <w:pPr>
        <w:rPr>
          <w:rFonts w:eastAsia="Calibri"/>
          <w:szCs w:val="24"/>
          <w:u w:val="none"/>
        </w:rPr>
      </w:pPr>
      <w:r>
        <w:rPr>
          <w:rFonts w:eastAsia="Calibri"/>
          <w:szCs w:val="24"/>
          <w:u w:val="none"/>
        </w:rPr>
        <w:t xml:space="preserve">DEBATĒS PIEDALĀS: </w:t>
      </w:r>
      <w:r w:rsidR="00644BDE">
        <w:rPr>
          <w:rFonts w:eastAsia="Calibri"/>
          <w:szCs w:val="24"/>
          <w:u w:val="none"/>
        </w:rPr>
        <w:t xml:space="preserve">Anita Beļajeva, Guna </w:t>
      </w:r>
      <w:proofErr w:type="spellStart"/>
      <w:r w:rsidR="00644BDE">
        <w:rPr>
          <w:rFonts w:eastAsia="Calibri"/>
          <w:szCs w:val="24"/>
          <w:u w:val="none"/>
        </w:rPr>
        <w:t>Švika</w:t>
      </w:r>
      <w:proofErr w:type="spellEnd"/>
    </w:p>
    <w:p w14:paraId="7A2CC803" w14:textId="77777777" w:rsidR="00BC2002" w:rsidRDefault="00BC2002" w:rsidP="00956EC8">
      <w:pPr>
        <w:rPr>
          <w:rFonts w:eastAsia="Calibri"/>
          <w:color w:val="FF0000"/>
          <w:szCs w:val="24"/>
          <w:u w:val="none"/>
        </w:rPr>
      </w:pPr>
    </w:p>
    <w:p w14:paraId="6D91E437" w14:textId="77777777" w:rsidR="00114990" w:rsidRDefault="00020F59" w:rsidP="00644BDE">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0ECFA0F" w14:textId="77777777" w:rsidR="00B24B3A" w:rsidRDefault="00020F59" w:rsidP="00644BDE">
      <w:pPr>
        <w:spacing w:line="360" w:lineRule="auto"/>
        <w:ind w:firstLine="567"/>
        <w:jc w:val="both"/>
        <w:rPr>
          <w:u w:val="none"/>
        </w:rPr>
      </w:pPr>
      <w:r w:rsidRPr="0016506D">
        <w:rPr>
          <w:noProof/>
          <w:u w:val="none"/>
        </w:rPr>
        <w:t>ar 5 balsīm "Par" (Aivars Circens, Anatolijs Savickis, Atis Jencītis, Guna Švika, Mudīte Motivāne), "Pret" – nav, "Atturas" – nav, "Nepiedalās" – nav</w:t>
      </w:r>
      <w:r>
        <w:rPr>
          <w:u w:val="none"/>
        </w:rPr>
        <w:t xml:space="preserve">, </w:t>
      </w:r>
      <w:r w:rsidR="00E966B9">
        <w:rPr>
          <w:u w:val="none"/>
        </w:rPr>
        <w:t>NOLEMJ</w:t>
      </w:r>
      <w:r w:rsidR="00114990" w:rsidRPr="00B24B3A">
        <w:rPr>
          <w:u w:val="none"/>
        </w:rPr>
        <w:t>:</w:t>
      </w:r>
    </w:p>
    <w:p w14:paraId="7B4E144A" w14:textId="77777777" w:rsidR="00644BDE" w:rsidRDefault="00644BDE" w:rsidP="00644BDE">
      <w:pPr>
        <w:spacing w:line="360" w:lineRule="auto"/>
        <w:ind w:firstLine="567"/>
        <w:jc w:val="both"/>
        <w:rPr>
          <w:u w:val="none"/>
        </w:rPr>
      </w:pPr>
      <w:r>
        <w:rPr>
          <w:noProof/>
          <w:u w:val="none"/>
        </w:rPr>
        <w:t>Virzīt izskatīšanai domes sēdē lēmumprojektu:</w:t>
      </w:r>
      <w:r>
        <w:rPr>
          <w:u w:val="none"/>
        </w:rPr>
        <w:t xml:space="preserve"> </w:t>
      </w:r>
    </w:p>
    <w:p w14:paraId="76486AC4" w14:textId="77777777" w:rsidR="00644BDE" w:rsidRPr="00644BDE" w:rsidRDefault="00644BDE" w:rsidP="00644BDE">
      <w:pPr>
        <w:spacing w:line="259" w:lineRule="auto"/>
        <w:jc w:val="center"/>
        <w:rPr>
          <w:rFonts w:eastAsia="Calibri"/>
          <w:b/>
          <w:bCs/>
          <w:szCs w:val="24"/>
          <w:u w:val="none"/>
        </w:rPr>
      </w:pPr>
      <w:r w:rsidRPr="00644BDE">
        <w:rPr>
          <w:rFonts w:eastAsia="Calibri"/>
          <w:b/>
          <w:bCs/>
          <w:szCs w:val="24"/>
          <w:u w:val="none"/>
        </w:rPr>
        <w:t>Par Gulbenes novada pašvaldības domes 2025.gada 27.februāra saistošo noteikumu Nr.__</w:t>
      </w:r>
    </w:p>
    <w:p w14:paraId="5334C59B" w14:textId="77777777" w:rsidR="00644BDE" w:rsidRPr="00644BDE" w:rsidRDefault="00644BDE" w:rsidP="00644BDE">
      <w:pPr>
        <w:ind w:right="566"/>
        <w:jc w:val="center"/>
        <w:rPr>
          <w:rFonts w:eastAsia="Calibri"/>
          <w:b/>
          <w:color w:val="FF0000"/>
          <w:szCs w:val="24"/>
          <w:u w:val="none"/>
          <w:lang w:eastAsia="lv-LV"/>
        </w:rPr>
      </w:pPr>
      <w:bookmarkStart w:id="0" w:name="_Hlk118891540"/>
      <w:bookmarkStart w:id="1" w:name="_Hlk112419214"/>
      <w:r w:rsidRPr="00644BDE">
        <w:rPr>
          <w:rFonts w:eastAsia="Calibri"/>
          <w:b/>
          <w:bCs/>
          <w:szCs w:val="24"/>
          <w:u w:val="none"/>
        </w:rPr>
        <w:t xml:space="preserve"> “</w:t>
      </w:r>
      <w:bookmarkEnd w:id="0"/>
      <w:r w:rsidRPr="00644BDE">
        <w:rPr>
          <w:rFonts w:eastAsia="Calibri"/>
          <w:b/>
          <w:bCs/>
          <w:szCs w:val="24"/>
          <w:u w:val="none"/>
        </w:rPr>
        <w:t xml:space="preserve">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Pr="00644BDE">
        <w:rPr>
          <w:rFonts w:eastAsia="Calibri"/>
          <w:b/>
          <w:bCs/>
          <w:szCs w:val="24"/>
          <w:u w:val="none"/>
        </w:rPr>
        <w:t>ārpusģimenes</w:t>
      </w:r>
      <w:proofErr w:type="spellEnd"/>
      <w:r w:rsidRPr="00644BDE">
        <w:rPr>
          <w:rFonts w:eastAsia="Calibri"/>
          <w:b/>
          <w:bCs/>
          <w:szCs w:val="24"/>
          <w:u w:val="none"/>
        </w:rPr>
        <w:t xml:space="preserve"> aprūpes izbeigšanās, un audžuģimenei vai specializētajai audžuģimenei”</w:t>
      </w:r>
      <w:r w:rsidRPr="00644BDE">
        <w:rPr>
          <w:rFonts w:eastAsia="Calibri"/>
          <w:b/>
          <w:szCs w:val="24"/>
          <w:u w:val="none"/>
          <w:lang w:eastAsia="lv-LV"/>
        </w:rPr>
        <w:t>”</w:t>
      </w:r>
      <w:bookmarkEnd w:id="1"/>
      <w:r w:rsidRPr="00644BDE">
        <w:rPr>
          <w:rFonts w:eastAsia="Calibri"/>
          <w:b/>
          <w:color w:val="FF0000"/>
          <w:szCs w:val="24"/>
          <w:u w:val="none"/>
          <w:lang w:eastAsia="lv-LV"/>
        </w:rPr>
        <w:t xml:space="preserve"> </w:t>
      </w:r>
      <w:r w:rsidRPr="00644BDE">
        <w:rPr>
          <w:rFonts w:eastAsia="Calibri"/>
          <w:b/>
          <w:bCs/>
          <w:szCs w:val="24"/>
          <w:u w:val="none"/>
        </w:rPr>
        <w:t>izdošanu</w:t>
      </w:r>
    </w:p>
    <w:p w14:paraId="2A8DB46F" w14:textId="77777777" w:rsidR="00644BDE" w:rsidRPr="00644BDE" w:rsidRDefault="00644BDE" w:rsidP="00644BDE">
      <w:pPr>
        <w:spacing w:line="360" w:lineRule="auto"/>
        <w:jc w:val="both"/>
        <w:rPr>
          <w:rFonts w:eastAsia="Calibri"/>
          <w:szCs w:val="24"/>
          <w:u w:val="none"/>
        </w:rPr>
      </w:pPr>
    </w:p>
    <w:p w14:paraId="194FDA19" w14:textId="77777777" w:rsidR="00644BDE" w:rsidRPr="00644BDE" w:rsidRDefault="00644BDE" w:rsidP="00644BDE">
      <w:pPr>
        <w:shd w:val="clear" w:color="auto" w:fill="FFFFFF"/>
        <w:spacing w:line="360" w:lineRule="auto"/>
        <w:ind w:firstLine="600"/>
        <w:jc w:val="both"/>
        <w:rPr>
          <w:rFonts w:eastAsia="Calibri"/>
          <w:szCs w:val="24"/>
          <w:u w:val="none"/>
          <w:lang w:eastAsia="lv-LV"/>
        </w:rPr>
      </w:pPr>
      <w:r w:rsidRPr="00644BDE">
        <w:rPr>
          <w:rFonts w:eastAsia="Calibri"/>
          <w:szCs w:val="24"/>
          <w:u w:val="none"/>
          <w:lang w:eastAsia="lv-LV"/>
        </w:rPr>
        <w:t xml:space="preserve">Gulbenes novada pašvaldības domes 2025.gada 27.februāra saistošo noteikumu “Grozījums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Pr="00644BDE">
        <w:rPr>
          <w:rFonts w:eastAsia="Calibri"/>
          <w:szCs w:val="24"/>
          <w:u w:val="none"/>
          <w:lang w:eastAsia="lv-LV"/>
        </w:rPr>
        <w:t>ārpusģimenes</w:t>
      </w:r>
      <w:proofErr w:type="spellEnd"/>
      <w:r w:rsidRPr="00644BDE">
        <w:rPr>
          <w:rFonts w:eastAsia="Calibri"/>
          <w:szCs w:val="24"/>
          <w:u w:val="none"/>
          <w:lang w:eastAsia="lv-LV"/>
        </w:rPr>
        <w:t xml:space="preserve"> aprūpes izbeigšanās, un audžuģimenei vai specializētajai audžuģimenei”” (turpmāk – saistošie noteikumi) izdošanas mērķis ir precizēt Gulbenes novada pašvaldības materiālās palīdzības pabalsta (turpmāk – pabalsts) ikmēneša izdevumiem apmēru, pamatojoties uz izmaiņām likuma “Par sociālo drošību” 2.</w:t>
      </w:r>
      <w:r w:rsidRPr="00644BDE">
        <w:rPr>
          <w:rFonts w:eastAsia="Calibri"/>
          <w:szCs w:val="24"/>
          <w:u w:val="none"/>
          <w:vertAlign w:val="superscript"/>
          <w:lang w:eastAsia="lv-LV"/>
        </w:rPr>
        <w:t xml:space="preserve">2 </w:t>
      </w:r>
      <w:r w:rsidRPr="00644BDE">
        <w:rPr>
          <w:rFonts w:eastAsia="Calibri"/>
          <w:szCs w:val="24"/>
          <w:u w:val="none"/>
          <w:lang w:eastAsia="lv-LV"/>
        </w:rPr>
        <w:t>panta otrajā daļā.</w:t>
      </w:r>
    </w:p>
    <w:p w14:paraId="276EA768" w14:textId="77777777" w:rsidR="00644BDE" w:rsidRPr="00644BDE" w:rsidRDefault="00644BDE" w:rsidP="00644BDE">
      <w:pPr>
        <w:shd w:val="clear" w:color="auto" w:fill="FFFFFF"/>
        <w:spacing w:line="360" w:lineRule="auto"/>
        <w:ind w:firstLine="600"/>
        <w:jc w:val="both"/>
        <w:rPr>
          <w:rFonts w:eastAsia="Calibri"/>
          <w:szCs w:val="24"/>
          <w:u w:val="none"/>
          <w:lang w:eastAsia="lv-LV"/>
        </w:rPr>
      </w:pPr>
      <w:r w:rsidRPr="00644BDE">
        <w:rPr>
          <w:rFonts w:eastAsia="Calibri"/>
          <w:szCs w:val="24"/>
          <w:u w:val="none"/>
          <w:lang w:eastAsia="lv-LV"/>
        </w:rPr>
        <w:t xml:space="preserve">Ministru kabineta 2005.gada 15.novembra noteikumu Nr.857 “Noteikumi par sociālajām garantijām un atbalstu bārenim un bez vecāku gādības palikušajam bērnam, kurš ir </w:t>
      </w:r>
      <w:proofErr w:type="spellStart"/>
      <w:r w:rsidRPr="00644BDE">
        <w:rPr>
          <w:rFonts w:eastAsia="Calibri"/>
          <w:szCs w:val="24"/>
          <w:u w:val="none"/>
          <w:lang w:eastAsia="lv-LV"/>
        </w:rPr>
        <w:t>ārpusģimenes</w:t>
      </w:r>
      <w:proofErr w:type="spellEnd"/>
      <w:r w:rsidRPr="00644BDE">
        <w:rPr>
          <w:rFonts w:eastAsia="Calibri"/>
          <w:szCs w:val="24"/>
          <w:u w:val="none"/>
          <w:lang w:eastAsia="lv-LV"/>
        </w:rPr>
        <w:t xml:space="preserve"> aprūpē, kā arī pēc </w:t>
      </w:r>
      <w:proofErr w:type="spellStart"/>
      <w:r w:rsidRPr="00644BDE">
        <w:rPr>
          <w:rFonts w:eastAsia="Calibri"/>
          <w:szCs w:val="24"/>
          <w:u w:val="none"/>
          <w:lang w:eastAsia="lv-LV"/>
        </w:rPr>
        <w:t>ārpusģimenes</w:t>
      </w:r>
      <w:proofErr w:type="spellEnd"/>
      <w:r w:rsidRPr="00644BDE">
        <w:rPr>
          <w:rFonts w:eastAsia="Calibri"/>
          <w:szCs w:val="24"/>
          <w:u w:val="none"/>
          <w:lang w:eastAsia="lv-LV"/>
        </w:rPr>
        <w:t xml:space="preserve"> aprūpes beigšanās” (turpmāk – MK noteikumi) 24.</w:t>
      </w:r>
      <w:r w:rsidRPr="00644BDE">
        <w:rPr>
          <w:rFonts w:eastAsia="Calibri"/>
          <w:szCs w:val="24"/>
          <w:u w:val="none"/>
          <w:vertAlign w:val="superscript"/>
          <w:lang w:eastAsia="lv-LV"/>
        </w:rPr>
        <w:t>13</w:t>
      </w:r>
      <w:r w:rsidRPr="00644BDE">
        <w:rPr>
          <w:rFonts w:eastAsia="Calibri"/>
          <w:szCs w:val="24"/>
          <w:u w:val="none"/>
          <w:lang w:eastAsia="lv-LV"/>
        </w:rPr>
        <w:t xml:space="preserve"> punkts nosaka, ka, ja pilngadību sasniegušais bērns apgūst vispārējās pamatizglītības, vispārējās vidējās izglītības, profesionālās pamatizglītības, arodizglītības vai profesionālās vidējās izglītības programmu, pašvaldība, kuras bāriņtiesa pieņēmusi lēmumu par bērna </w:t>
      </w:r>
      <w:proofErr w:type="spellStart"/>
      <w:r w:rsidRPr="00644BDE">
        <w:rPr>
          <w:rFonts w:eastAsia="Calibri"/>
          <w:szCs w:val="24"/>
          <w:u w:val="none"/>
          <w:lang w:eastAsia="lv-LV"/>
        </w:rPr>
        <w:t>ārpusģimenes</w:t>
      </w:r>
      <w:proofErr w:type="spellEnd"/>
      <w:r w:rsidRPr="00644BDE">
        <w:rPr>
          <w:rFonts w:eastAsia="Calibri"/>
          <w:szCs w:val="24"/>
          <w:u w:val="none"/>
          <w:lang w:eastAsia="lv-LV"/>
        </w:rPr>
        <w:t xml:space="preserve"> aprūpi, viņam izmaksā pabalstu ikmēneša izdevumiem, kas nav mazāks par likuma “Par sociālo drošību” 2.</w:t>
      </w:r>
      <w:r w:rsidRPr="00644BDE">
        <w:rPr>
          <w:rFonts w:eastAsia="Calibri"/>
          <w:szCs w:val="24"/>
          <w:u w:val="none"/>
          <w:vertAlign w:val="superscript"/>
          <w:lang w:eastAsia="lv-LV"/>
        </w:rPr>
        <w:t>2</w:t>
      </w:r>
      <w:r w:rsidRPr="00644BDE">
        <w:rPr>
          <w:rFonts w:eastAsia="Calibri"/>
          <w:szCs w:val="24"/>
          <w:u w:val="none"/>
          <w:lang w:eastAsia="lv-LV"/>
        </w:rPr>
        <w:t xml:space="preserve"> panta otrajā daļā noteikto minimālo ienākumu sliekšņa apmēru (noapaļots līdz pilniem </w:t>
      </w:r>
      <w:proofErr w:type="spellStart"/>
      <w:r w:rsidRPr="00644BDE">
        <w:rPr>
          <w:rFonts w:eastAsia="Calibri"/>
          <w:i/>
          <w:iCs/>
          <w:szCs w:val="24"/>
          <w:u w:val="none"/>
          <w:lang w:eastAsia="lv-LV"/>
        </w:rPr>
        <w:t>euro</w:t>
      </w:r>
      <w:proofErr w:type="spellEnd"/>
      <w:r w:rsidRPr="00644BDE">
        <w:rPr>
          <w:rFonts w:eastAsia="Calibri"/>
          <w:szCs w:val="24"/>
          <w:u w:val="none"/>
          <w:lang w:eastAsia="lv-LV"/>
        </w:rPr>
        <w:t xml:space="preserve">), bet personām ar invaliditāti kopš bērnības nav mazāks par 30 procentiem (noapaļots līdz pilniem </w:t>
      </w:r>
      <w:proofErr w:type="spellStart"/>
      <w:r w:rsidRPr="00644BDE">
        <w:rPr>
          <w:rFonts w:eastAsia="Calibri"/>
          <w:i/>
          <w:iCs/>
          <w:szCs w:val="24"/>
          <w:u w:val="none"/>
          <w:lang w:eastAsia="lv-LV"/>
        </w:rPr>
        <w:lastRenderedPageBreak/>
        <w:t>euro</w:t>
      </w:r>
      <w:proofErr w:type="spellEnd"/>
      <w:r w:rsidRPr="00644BDE">
        <w:rPr>
          <w:rFonts w:eastAsia="Calibri"/>
          <w:szCs w:val="24"/>
          <w:u w:val="none"/>
          <w:lang w:eastAsia="lv-LV"/>
        </w:rPr>
        <w:t>) no Centrālās statistikas pārvaldes publicētās aktuālās minimālo ienākumu mediānas uz vienu ekvivalento patērētāju mēnesī.</w:t>
      </w:r>
    </w:p>
    <w:p w14:paraId="5B190EB5" w14:textId="77777777" w:rsidR="00644BDE" w:rsidRPr="00644BDE" w:rsidRDefault="00644BDE" w:rsidP="00644BDE">
      <w:pPr>
        <w:shd w:val="clear" w:color="auto" w:fill="FFFFFF"/>
        <w:spacing w:line="360" w:lineRule="auto"/>
        <w:ind w:firstLine="600"/>
        <w:jc w:val="both"/>
        <w:rPr>
          <w:rFonts w:eastAsia="Calibri"/>
          <w:szCs w:val="24"/>
          <w:u w:val="none"/>
          <w:lang w:eastAsia="lv-LV"/>
        </w:rPr>
      </w:pPr>
      <w:r w:rsidRPr="00644BDE">
        <w:rPr>
          <w:rFonts w:eastAsia="Calibri"/>
          <w:szCs w:val="24"/>
          <w:u w:val="none"/>
          <w:lang w:eastAsia="lv-LV"/>
        </w:rPr>
        <w:t>MK noteikumu 24.</w:t>
      </w:r>
      <w:r w:rsidRPr="00644BDE">
        <w:rPr>
          <w:rFonts w:eastAsia="Calibri"/>
          <w:szCs w:val="24"/>
          <w:u w:val="none"/>
          <w:vertAlign w:val="superscript"/>
          <w:lang w:eastAsia="lv-LV"/>
        </w:rPr>
        <w:t xml:space="preserve">14 </w:t>
      </w:r>
      <w:r w:rsidRPr="00644BDE">
        <w:rPr>
          <w:rFonts w:eastAsia="Calibri"/>
          <w:szCs w:val="24"/>
          <w:u w:val="none"/>
          <w:lang w:eastAsia="lv-LV"/>
        </w:rPr>
        <w:t xml:space="preserve">punkts nosaka, ka, ja pilngadību sasniegušais bērns apgūst augstākās izglītības programmu, pašvaldība, kuras bāriņtiesa pieņēmusi lēmumu par bērna </w:t>
      </w:r>
      <w:proofErr w:type="spellStart"/>
      <w:r w:rsidRPr="00644BDE">
        <w:rPr>
          <w:rFonts w:eastAsia="Calibri"/>
          <w:szCs w:val="24"/>
          <w:u w:val="none"/>
          <w:lang w:eastAsia="lv-LV"/>
        </w:rPr>
        <w:t>ārpusģimenes</w:t>
      </w:r>
      <w:proofErr w:type="spellEnd"/>
      <w:r w:rsidRPr="00644BDE">
        <w:rPr>
          <w:rFonts w:eastAsia="Calibri"/>
          <w:szCs w:val="24"/>
          <w:u w:val="none"/>
          <w:lang w:eastAsia="lv-LV"/>
        </w:rPr>
        <w:t xml:space="preserve"> aprūpi, viņam izmaksā pabalstu ikmēneša izdevumiem, kas nav mazāks par likuma “Par sociālo drošību” 2.</w:t>
      </w:r>
      <w:r w:rsidRPr="00644BDE">
        <w:rPr>
          <w:rFonts w:eastAsia="Calibri"/>
          <w:szCs w:val="24"/>
          <w:u w:val="none"/>
          <w:vertAlign w:val="superscript"/>
          <w:lang w:eastAsia="lv-LV"/>
        </w:rPr>
        <w:t>2</w:t>
      </w:r>
      <w:r w:rsidRPr="00644BDE">
        <w:rPr>
          <w:rFonts w:eastAsia="Calibri"/>
          <w:szCs w:val="24"/>
          <w:u w:val="none"/>
          <w:lang w:eastAsia="lv-LV"/>
        </w:rPr>
        <w:t xml:space="preserve"> panta otrajā daļā noteikto minimālo ienākumu sliekšņa apmēru (noapaļots līdz pilniem </w:t>
      </w:r>
      <w:proofErr w:type="spellStart"/>
      <w:r w:rsidRPr="00644BDE">
        <w:rPr>
          <w:rFonts w:eastAsia="Calibri"/>
          <w:i/>
          <w:iCs/>
          <w:szCs w:val="24"/>
          <w:u w:val="none"/>
          <w:lang w:eastAsia="lv-LV"/>
        </w:rPr>
        <w:t>euro</w:t>
      </w:r>
      <w:proofErr w:type="spellEnd"/>
      <w:r w:rsidRPr="00644BDE">
        <w:rPr>
          <w:rFonts w:eastAsia="Calibri"/>
          <w:szCs w:val="24"/>
          <w:u w:val="none"/>
          <w:lang w:eastAsia="lv-LV"/>
        </w:rPr>
        <w:t xml:space="preserve">), bet personām ar invaliditāti kopš bērnības nav mazāks par 30 procentiem (noapaļots līdz pilniem </w:t>
      </w:r>
      <w:proofErr w:type="spellStart"/>
      <w:r w:rsidRPr="00644BDE">
        <w:rPr>
          <w:rFonts w:eastAsia="Calibri"/>
          <w:i/>
          <w:iCs/>
          <w:szCs w:val="24"/>
          <w:u w:val="none"/>
          <w:lang w:eastAsia="lv-LV"/>
        </w:rPr>
        <w:t>euro</w:t>
      </w:r>
      <w:proofErr w:type="spellEnd"/>
      <w:r w:rsidRPr="00644BDE">
        <w:rPr>
          <w:rFonts w:eastAsia="Calibri"/>
          <w:szCs w:val="24"/>
          <w:u w:val="none"/>
          <w:lang w:eastAsia="lv-LV"/>
        </w:rPr>
        <w:t>) no Centrālās statistikas pārvaldes publicētās aktuālās minimālo ienākumu mediānas uz vienu ekvivalento patērētāju mēnesī. Pabalsta izmaksu aptur studiju pārtraukuma laikā un to atjauno, ja studijas tiek atsāktas. Par studiju pārtraukšanu studiju procesu regulējošajos normatīvajos aktos noteiktajā kārtībā pilngadību sasniegušajam bērnam ir pienākums nekavējoties informēt pašvaldību, kura izmaksā pabalstu ikmēneša izdevumiem</w:t>
      </w:r>
    </w:p>
    <w:p w14:paraId="6B560BFE" w14:textId="77777777" w:rsidR="00644BDE" w:rsidRPr="00644BDE" w:rsidRDefault="00644BDE" w:rsidP="00644BDE">
      <w:pPr>
        <w:shd w:val="clear" w:color="auto" w:fill="FFFFFF"/>
        <w:spacing w:line="360" w:lineRule="auto"/>
        <w:ind w:firstLine="600"/>
        <w:jc w:val="both"/>
        <w:rPr>
          <w:rFonts w:eastAsia="Calibri"/>
          <w:szCs w:val="24"/>
          <w:u w:val="none"/>
          <w:lang w:eastAsia="lv-LV"/>
        </w:rPr>
      </w:pPr>
      <w:r w:rsidRPr="00644BDE">
        <w:rPr>
          <w:rFonts w:eastAsia="Calibri"/>
          <w:szCs w:val="24"/>
          <w:u w:val="none"/>
          <w:lang w:eastAsia="lv-LV"/>
        </w:rPr>
        <w:t>Līdz šim likuma “Par sociālo drošību” 2.</w:t>
      </w:r>
      <w:r w:rsidRPr="00644BDE">
        <w:rPr>
          <w:rFonts w:eastAsia="Calibri"/>
          <w:szCs w:val="24"/>
          <w:u w:val="none"/>
          <w:vertAlign w:val="superscript"/>
          <w:lang w:eastAsia="lv-LV"/>
        </w:rPr>
        <w:t>2</w:t>
      </w:r>
      <w:r w:rsidRPr="00644BDE">
        <w:rPr>
          <w:rFonts w:eastAsia="Calibri"/>
          <w:szCs w:val="24"/>
          <w:u w:val="none"/>
          <w:lang w:eastAsia="lv-LV"/>
        </w:rPr>
        <w:t xml:space="preserve"> panta otrajā daļā bija noteikts, ka minimālo ienākumu slieksnis nav zemāks par 20 procentiem (noapaļots līdz pilniem </w:t>
      </w:r>
      <w:proofErr w:type="spellStart"/>
      <w:r w:rsidRPr="00644BDE">
        <w:rPr>
          <w:rFonts w:eastAsia="Calibri"/>
          <w:i/>
          <w:iCs/>
          <w:szCs w:val="24"/>
          <w:u w:val="none"/>
          <w:lang w:eastAsia="lv-LV"/>
        </w:rPr>
        <w:t>euro</w:t>
      </w:r>
      <w:proofErr w:type="spellEnd"/>
      <w:r w:rsidRPr="00644BDE">
        <w:rPr>
          <w:rFonts w:eastAsia="Calibri"/>
          <w:szCs w:val="24"/>
          <w:u w:val="none"/>
          <w:lang w:eastAsia="lv-LV"/>
        </w:rPr>
        <w:t xml:space="preserve">) no Centrālās statistikas pārvaldes tīmekļvietnē publicētās minimālo ienākumu mediānas uz vienu ekvivalento patērētāju mēnesī. 2025.gada 1.janvārī stājās spēkā grozījumi likumā “Par sociālo drošību”, nosakot, ka no 2025.gada 1.janvāra minimālo ienākumu slieksnis nav zemāks par 22 procentiem (noapaļots līdz pilniem </w:t>
      </w:r>
      <w:proofErr w:type="spellStart"/>
      <w:r w:rsidRPr="00644BDE">
        <w:rPr>
          <w:rFonts w:eastAsia="Calibri"/>
          <w:i/>
          <w:iCs/>
          <w:szCs w:val="24"/>
          <w:u w:val="none"/>
          <w:lang w:eastAsia="lv-LV"/>
        </w:rPr>
        <w:t>euro</w:t>
      </w:r>
      <w:proofErr w:type="spellEnd"/>
      <w:r w:rsidRPr="00644BDE">
        <w:rPr>
          <w:rFonts w:eastAsia="Calibri"/>
          <w:szCs w:val="24"/>
          <w:u w:val="none"/>
          <w:lang w:eastAsia="lv-LV"/>
        </w:rPr>
        <w:t>) no Centrālās statistikas pārvaldes tīmekļvietnē publicētās minimālo ienākumu mediānas uz vienu ekvivalento patērētāju mēnesī.</w:t>
      </w:r>
    </w:p>
    <w:p w14:paraId="5F171219" w14:textId="77777777" w:rsidR="00644BDE" w:rsidRPr="00644BDE" w:rsidRDefault="00644BDE" w:rsidP="00644BDE">
      <w:pPr>
        <w:spacing w:line="360" w:lineRule="auto"/>
        <w:ind w:firstLine="600"/>
        <w:jc w:val="both"/>
        <w:rPr>
          <w:rFonts w:eastAsia="Calibri"/>
          <w:szCs w:val="24"/>
          <w:u w:val="none"/>
        </w:rPr>
      </w:pPr>
      <w:r w:rsidRPr="00644BDE">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131E289E" w14:textId="77777777" w:rsidR="00644BDE" w:rsidRPr="00644BDE" w:rsidRDefault="00644BDE" w:rsidP="00644BDE">
      <w:pPr>
        <w:spacing w:line="360" w:lineRule="auto"/>
        <w:ind w:firstLine="720"/>
        <w:jc w:val="both"/>
        <w:rPr>
          <w:rFonts w:eastAsia="Calibri"/>
          <w:szCs w:val="24"/>
          <w:u w:val="none"/>
        </w:rPr>
      </w:pPr>
      <w:r w:rsidRPr="00644BDE">
        <w:rPr>
          <w:rFonts w:eastAsia="Calibri"/>
          <w:szCs w:val="24"/>
          <w:u w:val="none"/>
        </w:rPr>
        <w:t xml:space="preserve">Ņemot vērā minēto, saistošo noteikumu projekts no 2025.gada 23.janvāra līdz 2025.gada 5.februārim tika publicēts Gulbenes novada pašvaldības oficiālajā tīmekļvietnē </w:t>
      </w:r>
      <w:hyperlink r:id="rId12" w:history="1">
        <w:r w:rsidRPr="00644BDE">
          <w:rPr>
            <w:rFonts w:eastAsia="Calibri"/>
            <w:color w:val="0563C1"/>
            <w:szCs w:val="24"/>
          </w:rPr>
          <w:t>https://www.gulbene.lv/lv</w:t>
        </w:r>
      </w:hyperlink>
      <w:r w:rsidRPr="00644BDE">
        <w:rPr>
          <w:rFonts w:eastAsia="Calibri"/>
          <w:szCs w:val="24"/>
          <w:u w:val="none"/>
        </w:rPr>
        <w:t xml:space="preserve"> sabiedrības viedokļa noskaidrošanai. Minētajā termiņā ierosinājumi vai priekšlikumi par saistošo noteikumu projektu nav saņemti. </w:t>
      </w:r>
    </w:p>
    <w:p w14:paraId="0708FF95" w14:textId="77777777" w:rsidR="00644BDE" w:rsidRPr="00644BDE" w:rsidRDefault="00644BDE" w:rsidP="00644BDE">
      <w:pPr>
        <w:spacing w:line="360" w:lineRule="auto"/>
        <w:ind w:firstLine="567"/>
        <w:jc w:val="both"/>
        <w:rPr>
          <w:rFonts w:eastAsia="Calibri"/>
          <w:szCs w:val="24"/>
          <w:u w:val="none"/>
        </w:rPr>
      </w:pPr>
      <w:r w:rsidRPr="00644BDE">
        <w:rPr>
          <w:rFonts w:eastAsia="Calibri"/>
          <w:szCs w:val="24"/>
          <w:u w:val="none"/>
        </w:rPr>
        <w:t xml:space="preserve">Ievērojot minēto, pamatojoties uz likuma “Par palīdzību dzīvokļa jautājuma risināšanā” 25.² panta pirmo un piekto daļu, Ministru kabineta 2005.gada 15.novembra noteikumu Nr. 857 “Noteikumi par sociālajām garantijām un atbalstu bārenim un bez vecāku gādības palikušajam bērnam, kurš ir </w:t>
      </w:r>
      <w:proofErr w:type="spellStart"/>
      <w:r w:rsidRPr="00644BDE">
        <w:rPr>
          <w:rFonts w:eastAsia="Calibri"/>
          <w:szCs w:val="24"/>
          <w:u w:val="none"/>
        </w:rPr>
        <w:t>ārpusģimenes</w:t>
      </w:r>
      <w:proofErr w:type="spellEnd"/>
      <w:r w:rsidRPr="00644BDE">
        <w:rPr>
          <w:rFonts w:eastAsia="Calibri"/>
          <w:szCs w:val="24"/>
          <w:u w:val="none"/>
        </w:rPr>
        <w:t xml:space="preserve"> aprūpē, kā arī pēc </w:t>
      </w:r>
      <w:proofErr w:type="spellStart"/>
      <w:r w:rsidRPr="00644BDE">
        <w:rPr>
          <w:rFonts w:eastAsia="Calibri"/>
          <w:szCs w:val="24"/>
          <w:u w:val="none"/>
        </w:rPr>
        <w:t>ārpusģimenes</w:t>
      </w:r>
      <w:proofErr w:type="spellEnd"/>
      <w:r w:rsidRPr="00644BDE">
        <w:rPr>
          <w:rFonts w:eastAsia="Calibri"/>
          <w:szCs w:val="24"/>
          <w:u w:val="none"/>
        </w:rPr>
        <w:t xml:space="preserve"> aprūpes beigšanās” 24.</w:t>
      </w:r>
      <w:r w:rsidRPr="00644BDE">
        <w:rPr>
          <w:rFonts w:eastAsia="Calibri"/>
          <w:szCs w:val="24"/>
          <w:u w:val="none"/>
          <w:vertAlign w:val="superscript"/>
        </w:rPr>
        <w:t>9</w:t>
      </w:r>
      <w:r w:rsidRPr="00644BDE">
        <w:rPr>
          <w:rFonts w:eastAsia="Calibri"/>
          <w:szCs w:val="24"/>
          <w:u w:val="none"/>
        </w:rPr>
        <w:t>, 24.</w:t>
      </w:r>
      <w:r w:rsidRPr="00644BDE">
        <w:rPr>
          <w:rFonts w:eastAsia="Calibri"/>
          <w:szCs w:val="24"/>
          <w:u w:val="none"/>
          <w:vertAlign w:val="superscript"/>
        </w:rPr>
        <w:t>11</w:t>
      </w:r>
      <w:r w:rsidRPr="00644BDE">
        <w:rPr>
          <w:rFonts w:eastAsia="Calibri"/>
          <w:szCs w:val="24"/>
          <w:u w:val="none"/>
        </w:rPr>
        <w:t>, 24.</w:t>
      </w:r>
      <w:r w:rsidRPr="00644BDE">
        <w:rPr>
          <w:rFonts w:eastAsia="Calibri"/>
          <w:szCs w:val="24"/>
          <w:u w:val="none"/>
          <w:vertAlign w:val="superscript"/>
        </w:rPr>
        <w:t>13</w:t>
      </w:r>
      <w:r w:rsidRPr="00644BDE">
        <w:rPr>
          <w:rFonts w:eastAsia="Calibri"/>
          <w:szCs w:val="24"/>
          <w:u w:val="none"/>
        </w:rPr>
        <w:t xml:space="preserve"> un 24.</w:t>
      </w:r>
      <w:r w:rsidRPr="00644BDE">
        <w:rPr>
          <w:rFonts w:eastAsia="Calibri"/>
          <w:szCs w:val="24"/>
          <w:u w:val="none"/>
          <w:vertAlign w:val="superscript"/>
        </w:rPr>
        <w:t xml:space="preserve">14 </w:t>
      </w:r>
      <w:r w:rsidRPr="00644BDE">
        <w:rPr>
          <w:rFonts w:eastAsia="Calibri"/>
          <w:szCs w:val="24"/>
          <w:u w:val="none"/>
        </w:rPr>
        <w:t>punktu, Ministru kabineta 2018.gada 26.jūnija noteikumu Nr.354 “Audžuģimenes noteikumi” 78. un 93.punktu un Gulbenes novada pašvaldības domes Sociālo un veselības jautājumu komitejas ieteikumu, atklāti balsojot: PAR – ___,PRET – ___ ATTURAS – ___, Gulbenes novada pašvaldības dome NOLEMJ:</w:t>
      </w:r>
    </w:p>
    <w:p w14:paraId="7F41A3DC" w14:textId="77777777" w:rsidR="00644BDE" w:rsidRPr="00644BDE" w:rsidRDefault="00644BDE" w:rsidP="00644BDE">
      <w:pPr>
        <w:numPr>
          <w:ilvl w:val="0"/>
          <w:numId w:val="1"/>
        </w:numPr>
        <w:tabs>
          <w:tab w:val="left" w:pos="993"/>
        </w:tabs>
        <w:spacing w:after="160" w:line="360" w:lineRule="auto"/>
        <w:ind w:left="0" w:firstLine="567"/>
        <w:jc w:val="both"/>
        <w:rPr>
          <w:rFonts w:eastAsia="Calibri"/>
          <w:szCs w:val="24"/>
          <w:u w:val="none"/>
        </w:rPr>
      </w:pPr>
      <w:r w:rsidRPr="00644BDE">
        <w:rPr>
          <w:rFonts w:eastAsia="Calibri"/>
          <w:szCs w:val="24"/>
          <w:u w:val="none"/>
        </w:rPr>
        <w:lastRenderedPageBreak/>
        <w:t xml:space="preserve">IZDOT Gulbenes novada pašvaldības domes 2025.gada 27.februāra saistošos noteikumus Nr.__ “Grozījums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Pr="00644BDE">
        <w:rPr>
          <w:rFonts w:eastAsia="Calibri"/>
          <w:szCs w:val="24"/>
          <w:u w:val="none"/>
        </w:rPr>
        <w:t>ārpusģimenes</w:t>
      </w:r>
      <w:proofErr w:type="spellEnd"/>
      <w:r w:rsidRPr="00644BDE">
        <w:rPr>
          <w:rFonts w:eastAsia="Calibri"/>
          <w:szCs w:val="24"/>
          <w:u w:val="none"/>
        </w:rPr>
        <w:t xml:space="preserve"> aprūpes izbeigšanās, un audžuģimenei vai specializētajai audžuģimenei””. </w:t>
      </w:r>
    </w:p>
    <w:p w14:paraId="1438199F" w14:textId="77777777" w:rsidR="00644BDE" w:rsidRPr="00644BDE" w:rsidRDefault="00644BDE" w:rsidP="00644BDE">
      <w:pPr>
        <w:numPr>
          <w:ilvl w:val="0"/>
          <w:numId w:val="1"/>
        </w:numPr>
        <w:tabs>
          <w:tab w:val="left" w:pos="993"/>
        </w:tabs>
        <w:spacing w:after="160" w:line="360" w:lineRule="auto"/>
        <w:ind w:left="0" w:firstLine="567"/>
        <w:jc w:val="both"/>
        <w:rPr>
          <w:rFonts w:eastAsia="Calibri"/>
          <w:szCs w:val="24"/>
          <w:u w:val="none"/>
        </w:rPr>
      </w:pPr>
      <w:r w:rsidRPr="00644BDE">
        <w:rPr>
          <w:rFonts w:eastAsia="Calibri"/>
          <w:szCs w:val="24"/>
          <w:u w:val="none"/>
        </w:rPr>
        <w:t>NOSŪTĪT Viedās administrācijas un reģionālās attīstības ministrijai atzinuma sniegšanai lēmuma 1.punktā minētos saistošos noteikumus un paskaidrojuma rakstu triju darbdienu laikā pēc to parakstīšanas.</w:t>
      </w:r>
    </w:p>
    <w:p w14:paraId="473BB56A" w14:textId="77777777" w:rsidR="00644BDE" w:rsidRPr="00644BDE" w:rsidRDefault="00644BDE" w:rsidP="00644BDE">
      <w:pPr>
        <w:tabs>
          <w:tab w:val="left" w:pos="993"/>
        </w:tabs>
        <w:spacing w:line="360" w:lineRule="auto"/>
        <w:ind w:firstLine="567"/>
        <w:jc w:val="both"/>
        <w:rPr>
          <w:rFonts w:eastAsia="Calibri"/>
          <w:szCs w:val="24"/>
          <w:u w:val="none"/>
        </w:rPr>
      </w:pPr>
      <w:r w:rsidRPr="00644BDE">
        <w:rPr>
          <w:rFonts w:eastAsia="Calibri"/>
          <w:szCs w:val="24"/>
          <w:u w:val="none"/>
        </w:rPr>
        <w:t>3.</w:t>
      </w:r>
      <w:r w:rsidRPr="00644BDE">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58AB7661" w14:textId="77777777" w:rsidR="00644BDE" w:rsidRPr="00644BDE" w:rsidRDefault="00644BDE" w:rsidP="00644BDE">
      <w:pPr>
        <w:tabs>
          <w:tab w:val="left" w:pos="993"/>
        </w:tabs>
        <w:spacing w:line="360" w:lineRule="auto"/>
        <w:ind w:firstLine="567"/>
        <w:jc w:val="both"/>
        <w:rPr>
          <w:rFonts w:eastAsia="Calibri"/>
          <w:szCs w:val="24"/>
          <w:u w:val="none"/>
        </w:rPr>
      </w:pPr>
      <w:r w:rsidRPr="00644BDE">
        <w:rPr>
          <w:rFonts w:eastAsia="Calibri"/>
          <w:szCs w:val="24"/>
          <w:u w:val="none"/>
        </w:rPr>
        <w:t>4.</w:t>
      </w:r>
      <w:r w:rsidRPr="00644BDE">
        <w:rPr>
          <w:rFonts w:eastAsia="Calibri"/>
          <w:szCs w:val="24"/>
          <w:u w: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AF6360B" w14:textId="77777777" w:rsidR="00644BDE" w:rsidRPr="00644BDE" w:rsidRDefault="00644BDE" w:rsidP="00644BDE">
      <w:pPr>
        <w:spacing w:after="160" w:line="259" w:lineRule="auto"/>
        <w:rPr>
          <w:rFonts w:eastAsia="Calibri"/>
          <w:szCs w:val="24"/>
          <w:u w:val="none"/>
        </w:rPr>
      </w:pPr>
    </w:p>
    <w:tbl>
      <w:tblPr>
        <w:tblW w:w="0" w:type="auto"/>
        <w:tblLook w:val="01E0" w:firstRow="1" w:lastRow="1" w:firstColumn="1" w:lastColumn="1" w:noHBand="0" w:noVBand="0"/>
      </w:tblPr>
      <w:tblGrid>
        <w:gridCol w:w="9354"/>
      </w:tblGrid>
      <w:tr w:rsidR="00644BDE" w:rsidRPr="00644BDE" w14:paraId="579A2D78" w14:textId="77777777" w:rsidTr="00053C85">
        <w:tc>
          <w:tcPr>
            <w:tcW w:w="9354" w:type="dxa"/>
            <w:hideMark/>
          </w:tcPr>
          <w:tbl>
            <w:tblPr>
              <w:tblW w:w="0" w:type="auto"/>
              <w:tblBorders>
                <w:bottom w:val="single" w:sz="4" w:space="0" w:color="auto"/>
              </w:tblBorders>
              <w:tblLook w:val="04A0" w:firstRow="1" w:lastRow="0" w:firstColumn="1" w:lastColumn="0" w:noHBand="0" w:noVBand="1"/>
            </w:tblPr>
            <w:tblGrid>
              <w:gridCol w:w="9138"/>
            </w:tblGrid>
            <w:tr w:rsidR="00644BDE" w:rsidRPr="00644BDE" w14:paraId="347E1ADC" w14:textId="77777777" w:rsidTr="00053C85">
              <w:tc>
                <w:tcPr>
                  <w:tcW w:w="9458" w:type="dxa"/>
                  <w:tcBorders>
                    <w:top w:val="nil"/>
                    <w:left w:val="nil"/>
                    <w:bottom w:val="nil"/>
                    <w:right w:val="nil"/>
                  </w:tcBorders>
                  <w:hideMark/>
                </w:tcPr>
                <w:p w14:paraId="7F1DC792" w14:textId="77777777" w:rsidR="00644BDE" w:rsidRPr="00644BDE" w:rsidRDefault="00644BDE" w:rsidP="00644BDE">
                  <w:pPr>
                    <w:jc w:val="center"/>
                    <w:rPr>
                      <w:rFonts w:eastAsia="Calibri"/>
                      <w:sz w:val="22"/>
                      <w:u w:val="none"/>
                    </w:rPr>
                  </w:pPr>
                  <w:r w:rsidRPr="00644BDE">
                    <w:rPr>
                      <w:rFonts w:eastAsia="Calibri"/>
                      <w:noProof/>
                      <w:sz w:val="22"/>
                      <w:u w:val="none"/>
                    </w:rPr>
                    <w:drawing>
                      <wp:inline distT="0" distB="0" distL="0" distR="0" wp14:anchorId="1287C730" wp14:editId="7DF125F2">
                        <wp:extent cx="619125" cy="685800"/>
                        <wp:effectExtent l="0" t="0" r="9525" b="0"/>
                        <wp:docPr id="45951665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44BDE" w:rsidRPr="00644BDE" w14:paraId="7C03F8C9" w14:textId="77777777" w:rsidTr="00053C85">
              <w:tc>
                <w:tcPr>
                  <w:tcW w:w="9458" w:type="dxa"/>
                  <w:tcBorders>
                    <w:top w:val="nil"/>
                    <w:left w:val="nil"/>
                    <w:bottom w:val="nil"/>
                    <w:right w:val="nil"/>
                  </w:tcBorders>
                  <w:hideMark/>
                </w:tcPr>
                <w:p w14:paraId="64D93646" w14:textId="77777777" w:rsidR="00644BDE" w:rsidRPr="00644BDE" w:rsidRDefault="00644BDE" w:rsidP="00644BDE">
                  <w:pPr>
                    <w:jc w:val="center"/>
                    <w:rPr>
                      <w:rFonts w:eastAsia="Calibri"/>
                      <w:sz w:val="22"/>
                      <w:u w:val="none"/>
                    </w:rPr>
                  </w:pPr>
                  <w:r w:rsidRPr="00644BDE">
                    <w:rPr>
                      <w:rFonts w:eastAsia="Calibri"/>
                      <w:b/>
                      <w:bCs/>
                      <w:sz w:val="22"/>
                      <w:u w:val="none"/>
                    </w:rPr>
                    <w:t>GULBENES NOVADA PAŠVALDĪBA</w:t>
                  </w:r>
                </w:p>
              </w:tc>
            </w:tr>
            <w:tr w:rsidR="00644BDE" w:rsidRPr="00644BDE" w14:paraId="376C81FD" w14:textId="77777777" w:rsidTr="00053C85">
              <w:tc>
                <w:tcPr>
                  <w:tcW w:w="9458" w:type="dxa"/>
                  <w:tcBorders>
                    <w:top w:val="nil"/>
                    <w:left w:val="nil"/>
                    <w:bottom w:val="nil"/>
                    <w:right w:val="nil"/>
                  </w:tcBorders>
                  <w:hideMark/>
                </w:tcPr>
                <w:p w14:paraId="3F6C43A9" w14:textId="77777777" w:rsidR="00644BDE" w:rsidRPr="00644BDE" w:rsidRDefault="00644BDE" w:rsidP="00644BDE">
                  <w:pPr>
                    <w:jc w:val="center"/>
                    <w:rPr>
                      <w:rFonts w:eastAsia="Calibri"/>
                      <w:sz w:val="22"/>
                      <w:u w:val="none"/>
                    </w:rPr>
                  </w:pPr>
                  <w:r w:rsidRPr="00644BDE">
                    <w:rPr>
                      <w:rFonts w:eastAsia="Calibri"/>
                      <w:sz w:val="22"/>
                      <w:u w:val="none"/>
                    </w:rPr>
                    <w:t>Reģ.Nr.90009116327</w:t>
                  </w:r>
                </w:p>
              </w:tc>
            </w:tr>
            <w:tr w:rsidR="00644BDE" w:rsidRPr="00644BDE" w14:paraId="602C4343" w14:textId="77777777" w:rsidTr="00053C85">
              <w:tc>
                <w:tcPr>
                  <w:tcW w:w="9458" w:type="dxa"/>
                  <w:tcBorders>
                    <w:top w:val="nil"/>
                    <w:left w:val="nil"/>
                    <w:bottom w:val="nil"/>
                    <w:right w:val="nil"/>
                  </w:tcBorders>
                  <w:hideMark/>
                </w:tcPr>
                <w:p w14:paraId="58C38759" w14:textId="77777777" w:rsidR="00644BDE" w:rsidRPr="00644BDE" w:rsidRDefault="00644BDE" w:rsidP="00644BDE">
                  <w:pPr>
                    <w:jc w:val="center"/>
                    <w:rPr>
                      <w:rFonts w:eastAsia="Calibri"/>
                      <w:sz w:val="22"/>
                      <w:u w:val="none"/>
                    </w:rPr>
                  </w:pPr>
                  <w:r w:rsidRPr="00644BDE">
                    <w:rPr>
                      <w:rFonts w:eastAsia="Calibri"/>
                      <w:sz w:val="22"/>
                      <w:u w:val="none"/>
                    </w:rPr>
                    <w:t>Ābeļu iela 2, Gulbene, Gulbenes nov., LV-4401</w:t>
                  </w:r>
                </w:p>
              </w:tc>
            </w:tr>
            <w:tr w:rsidR="00644BDE" w:rsidRPr="00644BDE" w14:paraId="07C72A9E" w14:textId="77777777" w:rsidTr="00053C85">
              <w:tc>
                <w:tcPr>
                  <w:tcW w:w="9458" w:type="dxa"/>
                  <w:tcBorders>
                    <w:top w:val="nil"/>
                    <w:left w:val="nil"/>
                    <w:bottom w:val="single" w:sz="4" w:space="0" w:color="auto"/>
                    <w:right w:val="nil"/>
                  </w:tcBorders>
                  <w:hideMark/>
                </w:tcPr>
                <w:p w14:paraId="1D1D4AB1" w14:textId="77777777" w:rsidR="00644BDE" w:rsidRPr="00644BDE" w:rsidRDefault="00644BDE" w:rsidP="00644BDE">
                  <w:pPr>
                    <w:jc w:val="center"/>
                    <w:rPr>
                      <w:rFonts w:eastAsia="Calibri"/>
                      <w:sz w:val="22"/>
                      <w:u w:val="none"/>
                    </w:rPr>
                  </w:pPr>
                  <w:r w:rsidRPr="00644BDE">
                    <w:rPr>
                      <w:rFonts w:eastAsia="Calibri"/>
                      <w:sz w:val="22"/>
                      <w:u w:val="none"/>
                    </w:rPr>
                    <w:t>Tālrunis 64497710, mob.26595362, e-pasts: dome@gulbene.lv, www.gulbene.lv</w:t>
                  </w:r>
                </w:p>
              </w:tc>
            </w:tr>
          </w:tbl>
          <w:p w14:paraId="7EBA995B" w14:textId="77777777" w:rsidR="00644BDE" w:rsidRPr="00644BDE" w:rsidRDefault="00644BDE" w:rsidP="00644BDE">
            <w:pPr>
              <w:jc w:val="center"/>
              <w:rPr>
                <w:rFonts w:eastAsia="Calibri"/>
                <w:sz w:val="22"/>
                <w:u w:val="none"/>
              </w:rPr>
            </w:pPr>
          </w:p>
        </w:tc>
      </w:tr>
      <w:tr w:rsidR="00644BDE" w:rsidRPr="00644BDE" w14:paraId="3AD88018" w14:textId="77777777" w:rsidTr="00053C85">
        <w:tc>
          <w:tcPr>
            <w:tcW w:w="9354" w:type="dxa"/>
          </w:tcPr>
          <w:p w14:paraId="50CF46B5" w14:textId="77777777" w:rsidR="00644BDE" w:rsidRPr="00644BDE" w:rsidRDefault="00644BDE" w:rsidP="00644BDE">
            <w:pPr>
              <w:spacing w:after="160" w:line="259" w:lineRule="auto"/>
              <w:rPr>
                <w:rFonts w:ascii="Calibri" w:eastAsia="Calibri" w:hAnsi="Calibri"/>
                <w:sz w:val="2"/>
                <w:szCs w:val="2"/>
                <w:u w:val="none"/>
              </w:rPr>
            </w:pPr>
          </w:p>
        </w:tc>
      </w:tr>
    </w:tbl>
    <w:p w14:paraId="1EB6F99A" w14:textId="77777777" w:rsidR="00644BDE" w:rsidRPr="00644BDE" w:rsidRDefault="00644BDE" w:rsidP="00644BDE">
      <w:pPr>
        <w:spacing w:after="160" w:line="259" w:lineRule="auto"/>
        <w:jc w:val="center"/>
        <w:rPr>
          <w:rFonts w:eastAsia="Calibri"/>
          <w:sz w:val="22"/>
          <w:u w:val="none"/>
        </w:rPr>
      </w:pPr>
      <w:r w:rsidRPr="00644BDE">
        <w:rPr>
          <w:rFonts w:eastAsia="Calibri"/>
          <w:sz w:val="22"/>
          <w:u w:val="none"/>
        </w:rPr>
        <w:t>Gulbenē</w:t>
      </w:r>
    </w:p>
    <w:p w14:paraId="461873E0" w14:textId="77777777" w:rsidR="00644BDE" w:rsidRPr="00644BDE" w:rsidRDefault="00644BDE" w:rsidP="00644BDE">
      <w:pPr>
        <w:rPr>
          <w:rFonts w:eastAsia="Calibri"/>
          <w:b/>
          <w:szCs w:val="24"/>
          <w:u w:val="none"/>
        </w:rPr>
      </w:pPr>
      <w:r w:rsidRPr="00644BDE">
        <w:rPr>
          <w:rFonts w:eastAsia="Calibri"/>
          <w:b/>
          <w:szCs w:val="24"/>
          <w:u w:val="none"/>
        </w:rPr>
        <w:t xml:space="preserve">2025.gada 27.februārī </w:t>
      </w:r>
      <w:r w:rsidRPr="00644BDE">
        <w:rPr>
          <w:rFonts w:eastAsia="Calibri"/>
          <w:b/>
          <w:szCs w:val="24"/>
          <w:u w:val="none"/>
        </w:rPr>
        <w:tab/>
      </w:r>
      <w:r w:rsidRPr="00644BDE">
        <w:rPr>
          <w:rFonts w:eastAsia="Calibri"/>
          <w:b/>
          <w:szCs w:val="24"/>
          <w:u w:val="none"/>
        </w:rPr>
        <w:tab/>
      </w:r>
      <w:r w:rsidRPr="00644BDE">
        <w:rPr>
          <w:rFonts w:eastAsia="Calibri"/>
          <w:b/>
          <w:szCs w:val="24"/>
          <w:u w:val="none"/>
        </w:rPr>
        <w:tab/>
      </w:r>
      <w:r w:rsidRPr="00644BDE">
        <w:rPr>
          <w:rFonts w:eastAsia="Calibri"/>
          <w:b/>
          <w:szCs w:val="24"/>
          <w:u w:val="none"/>
        </w:rPr>
        <w:tab/>
        <w:t xml:space="preserve">            </w:t>
      </w:r>
      <w:r w:rsidRPr="00644BDE">
        <w:rPr>
          <w:rFonts w:eastAsia="Calibri"/>
          <w:b/>
          <w:szCs w:val="24"/>
          <w:u w:val="none"/>
        </w:rPr>
        <w:tab/>
        <w:t xml:space="preserve">Saistošie noteikumi Nr. </w:t>
      </w:r>
    </w:p>
    <w:p w14:paraId="33222387" w14:textId="77777777" w:rsidR="00644BDE" w:rsidRPr="00644BDE" w:rsidRDefault="00644BDE" w:rsidP="00644BDE">
      <w:pPr>
        <w:ind w:left="5760" w:firstLine="720"/>
        <w:rPr>
          <w:rFonts w:eastAsia="Calibri"/>
          <w:b/>
          <w:szCs w:val="24"/>
          <w:u w:val="none"/>
        </w:rPr>
      </w:pPr>
      <w:r w:rsidRPr="00644BDE">
        <w:rPr>
          <w:rFonts w:eastAsia="Calibri"/>
          <w:b/>
          <w:szCs w:val="24"/>
          <w:u w:val="none"/>
        </w:rPr>
        <w:t>(prot. Nr., .p.)</w:t>
      </w:r>
    </w:p>
    <w:p w14:paraId="3FB9D300" w14:textId="77777777" w:rsidR="00644BDE" w:rsidRPr="00644BDE" w:rsidRDefault="00644BDE" w:rsidP="00644BDE">
      <w:pPr>
        <w:rPr>
          <w:rFonts w:eastAsia="Calibri"/>
          <w:b/>
          <w:szCs w:val="24"/>
          <w:u w:val="none"/>
        </w:rPr>
      </w:pPr>
    </w:p>
    <w:p w14:paraId="56E0827D" w14:textId="77777777" w:rsidR="00644BDE" w:rsidRPr="00644BDE" w:rsidRDefault="00644BDE" w:rsidP="00644BDE">
      <w:pPr>
        <w:spacing w:after="160" w:line="259" w:lineRule="auto"/>
        <w:jc w:val="center"/>
        <w:rPr>
          <w:rFonts w:eastAsia="Calibri"/>
          <w:b/>
          <w:szCs w:val="24"/>
          <w:u w:val="none"/>
        </w:rPr>
      </w:pPr>
      <w:bookmarkStart w:id="2" w:name="_Hlk108520122"/>
      <w:bookmarkStart w:id="3" w:name="_Hlk128574878"/>
      <w:r w:rsidRPr="00644BDE">
        <w:rPr>
          <w:rFonts w:eastAsia="Calibri"/>
          <w:b/>
          <w:szCs w:val="24"/>
          <w:u w:val="none"/>
        </w:rPr>
        <w:t xml:space="preserve">Grozījums Gulbenes novada pašvaldības domes 2024.gada 30.maija saistošajos noteikumos Nr.9 “Par </w:t>
      </w:r>
      <w:bookmarkEnd w:id="2"/>
      <w:bookmarkEnd w:id="3"/>
      <w:r w:rsidRPr="00644BDE">
        <w:rPr>
          <w:rFonts w:eastAsia="Calibri"/>
          <w:b/>
          <w:szCs w:val="24"/>
          <w:u w:val="none"/>
        </w:rPr>
        <w:t xml:space="preserve">Gulbenes novada pašvaldības materiālās palīdzības pabalstiem bārenim un bez vecāku gādības palikušam bērnam pēc pilngadības sasniegšanas un </w:t>
      </w:r>
      <w:proofErr w:type="spellStart"/>
      <w:r w:rsidRPr="00644BDE">
        <w:rPr>
          <w:rFonts w:eastAsia="Calibri"/>
          <w:b/>
          <w:szCs w:val="24"/>
          <w:u w:val="none"/>
        </w:rPr>
        <w:t>ārpusģimenes</w:t>
      </w:r>
      <w:proofErr w:type="spellEnd"/>
      <w:r w:rsidRPr="00644BDE">
        <w:rPr>
          <w:rFonts w:eastAsia="Calibri"/>
          <w:b/>
          <w:szCs w:val="24"/>
          <w:u w:val="none"/>
        </w:rPr>
        <w:t xml:space="preserve"> aprūpes izbeigšanās, un audžuģimenei vai specializētajai audžuģimenei”</w:t>
      </w:r>
    </w:p>
    <w:p w14:paraId="7DFAC6EE" w14:textId="77777777" w:rsidR="00644BDE" w:rsidRPr="00644BDE" w:rsidRDefault="00644BDE" w:rsidP="00644BDE">
      <w:pPr>
        <w:spacing w:after="160" w:line="259" w:lineRule="auto"/>
        <w:ind w:left="4320"/>
        <w:rPr>
          <w:rFonts w:eastAsia="Calibri"/>
          <w:i/>
          <w:iCs/>
          <w:sz w:val="20"/>
          <w:szCs w:val="20"/>
          <w:u w:val="none"/>
        </w:rPr>
      </w:pPr>
      <w:r w:rsidRPr="00644BDE">
        <w:rPr>
          <w:rFonts w:eastAsia="Calibri"/>
          <w:i/>
          <w:iCs/>
          <w:sz w:val="20"/>
          <w:szCs w:val="20"/>
          <w:u w:val="none"/>
        </w:rPr>
        <w:t xml:space="preserve">Izdoti saskaņā ar likuma “Par palīdzību dzīvokļa jautājuma risināšanā” 25.² panta pirmo un piekto daļu, Ministru kabineta 2005.gada 15.novembra noteikumu Nr. 857 “Noteikumi par sociālajām garantijām un atbalstu bārenim </w:t>
      </w:r>
      <w:r w:rsidRPr="00644BDE">
        <w:rPr>
          <w:rFonts w:eastAsia="Calibri"/>
          <w:i/>
          <w:iCs/>
          <w:sz w:val="20"/>
          <w:szCs w:val="20"/>
          <w:u w:val="none"/>
        </w:rPr>
        <w:lastRenderedPageBreak/>
        <w:t xml:space="preserve">un bez vecāku gādības palikušajam bērnam, kurš ir </w:t>
      </w:r>
      <w:proofErr w:type="spellStart"/>
      <w:r w:rsidRPr="00644BDE">
        <w:rPr>
          <w:rFonts w:eastAsia="Calibri"/>
          <w:i/>
          <w:iCs/>
          <w:sz w:val="20"/>
          <w:szCs w:val="20"/>
          <w:u w:val="none"/>
        </w:rPr>
        <w:t>ārpusģimenes</w:t>
      </w:r>
      <w:proofErr w:type="spellEnd"/>
      <w:r w:rsidRPr="00644BDE">
        <w:rPr>
          <w:rFonts w:eastAsia="Calibri"/>
          <w:i/>
          <w:iCs/>
          <w:sz w:val="20"/>
          <w:szCs w:val="20"/>
          <w:u w:val="none"/>
        </w:rPr>
        <w:t xml:space="preserve"> aprūpē, kā arī pēc </w:t>
      </w:r>
      <w:proofErr w:type="spellStart"/>
      <w:r w:rsidRPr="00644BDE">
        <w:rPr>
          <w:rFonts w:eastAsia="Calibri"/>
          <w:i/>
          <w:iCs/>
          <w:sz w:val="20"/>
          <w:szCs w:val="20"/>
          <w:u w:val="none"/>
        </w:rPr>
        <w:t>ārpusģimenes</w:t>
      </w:r>
      <w:proofErr w:type="spellEnd"/>
      <w:r w:rsidRPr="00644BDE">
        <w:rPr>
          <w:rFonts w:eastAsia="Calibri"/>
          <w:i/>
          <w:iCs/>
          <w:sz w:val="20"/>
          <w:szCs w:val="20"/>
          <w:u w:val="none"/>
        </w:rPr>
        <w:t xml:space="preserve"> aprūpes beigšanās” 24.</w:t>
      </w:r>
      <w:r w:rsidRPr="00644BDE">
        <w:rPr>
          <w:rFonts w:eastAsia="Calibri"/>
          <w:i/>
          <w:iCs/>
          <w:sz w:val="20"/>
          <w:szCs w:val="20"/>
          <w:u w:val="none"/>
          <w:vertAlign w:val="superscript"/>
        </w:rPr>
        <w:t>9</w:t>
      </w:r>
      <w:r w:rsidRPr="00644BDE">
        <w:rPr>
          <w:rFonts w:eastAsia="Calibri"/>
          <w:i/>
          <w:iCs/>
          <w:sz w:val="20"/>
          <w:szCs w:val="20"/>
          <w:u w:val="none"/>
        </w:rPr>
        <w:t>, 24.</w:t>
      </w:r>
      <w:r w:rsidRPr="00644BDE">
        <w:rPr>
          <w:rFonts w:eastAsia="Calibri"/>
          <w:i/>
          <w:iCs/>
          <w:sz w:val="20"/>
          <w:szCs w:val="20"/>
          <w:u w:val="none"/>
          <w:vertAlign w:val="superscript"/>
        </w:rPr>
        <w:t>11</w:t>
      </w:r>
      <w:r w:rsidRPr="00644BDE">
        <w:rPr>
          <w:rFonts w:eastAsia="Calibri"/>
          <w:i/>
          <w:iCs/>
          <w:sz w:val="20"/>
          <w:szCs w:val="20"/>
          <w:u w:val="none"/>
        </w:rPr>
        <w:t>, 24.</w:t>
      </w:r>
      <w:r w:rsidRPr="00644BDE">
        <w:rPr>
          <w:rFonts w:eastAsia="Calibri"/>
          <w:i/>
          <w:iCs/>
          <w:sz w:val="20"/>
          <w:szCs w:val="20"/>
          <w:u w:val="none"/>
          <w:vertAlign w:val="superscript"/>
        </w:rPr>
        <w:t>13</w:t>
      </w:r>
      <w:r w:rsidRPr="00644BDE">
        <w:rPr>
          <w:rFonts w:eastAsia="Calibri"/>
          <w:i/>
          <w:iCs/>
          <w:sz w:val="20"/>
          <w:szCs w:val="20"/>
          <w:u w:val="none"/>
        </w:rPr>
        <w:t xml:space="preserve"> un 24.</w:t>
      </w:r>
      <w:r w:rsidRPr="00644BDE">
        <w:rPr>
          <w:rFonts w:eastAsia="Calibri"/>
          <w:i/>
          <w:iCs/>
          <w:sz w:val="20"/>
          <w:szCs w:val="20"/>
          <w:u w:val="none"/>
          <w:vertAlign w:val="superscript"/>
        </w:rPr>
        <w:t xml:space="preserve">14 </w:t>
      </w:r>
      <w:r w:rsidRPr="00644BDE">
        <w:rPr>
          <w:rFonts w:eastAsia="Calibri"/>
          <w:i/>
          <w:iCs/>
          <w:sz w:val="20"/>
          <w:szCs w:val="20"/>
          <w:u w:val="none"/>
        </w:rPr>
        <w:t>punktu, Ministru kabineta 2018.gada 26.jūnija noteikumu Nr.354 “Audžuģimenes noteikumi” 78. un 93.punktu</w:t>
      </w:r>
    </w:p>
    <w:p w14:paraId="18AE8A48" w14:textId="77777777" w:rsidR="00644BDE" w:rsidRPr="00644BDE" w:rsidRDefault="00644BDE" w:rsidP="00644BDE">
      <w:pPr>
        <w:spacing w:after="160" w:line="360" w:lineRule="auto"/>
        <w:ind w:firstLine="567"/>
        <w:jc w:val="both"/>
        <w:rPr>
          <w:rFonts w:eastAsia="Calibri"/>
          <w:szCs w:val="24"/>
          <w:u w:val="none"/>
        </w:rPr>
      </w:pPr>
    </w:p>
    <w:p w14:paraId="7AFB9C55" w14:textId="77777777" w:rsidR="00644BDE" w:rsidRPr="00644BDE" w:rsidRDefault="00644BDE" w:rsidP="00644BDE">
      <w:pPr>
        <w:spacing w:after="160" w:line="360" w:lineRule="auto"/>
        <w:ind w:firstLine="567"/>
        <w:jc w:val="both"/>
        <w:rPr>
          <w:rFonts w:eastAsia="Calibri"/>
          <w:szCs w:val="24"/>
          <w:u w:val="none"/>
        </w:rPr>
      </w:pPr>
      <w:r w:rsidRPr="00644BDE">
        <w:rPr>
          <w:rFonts w:eastAsia="Calibri"/>
          <w:szCs w:val="24"/>
          <w:u w:val="none"/>
        </w:rPr>
        <w:t xml:space="preserve">Izdarīt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Pr="00644BDE">
        <w:rPr>
          <w:rFonts w:eastAsia="Calibri"/>
          <w:szCs w:val="24"/>
          <w:u w:val="none"/>
        </w:rPr>
        <w:t>ārpusģimenes</w:t>
      </w:r>
      <w:proofErr w:type="spellEnd"/>
      <w:r w:rsidRPr="00644BDE">
        <w:rPr>
          <w:rFonts w:eastAsia="Calibri"/>
          <w:szCs w:val="24"/>
          <w:u w:val="none"/>
        </w:rPr>
        <w:t xml:space="preserve"> aprūpes izbeigšanās, un audžuģimenei vai specializētajai audžuģimenei” grozījumu un aizstāt 18.punktā skaitli “20” ar skaitli “22”. </w:t>
      </w:r>
    </w:p>
    <w:p w14:paraId="78D3FB0E" w14:textId="24DD6BF3" w:rsidR="00644BDE" w:rsidRPr="00644BDE" w:rsidRDefault="00644BDE" w:rsidP="00644BDE">
      <w:pPr>
        <w:spacing w:after="160" w:line="259" w:lineRule="auto"/>
        <w:jc w:val="center"/>
        <w:rPr>
          <w:rFonts w:eastAsia="Calibri"/>
          <w:b/>
          <w:szCs w:val="24"/>
          <w:u w:val="none"/>
        </w:rPr>
      </w:pPr>
      <w:r w:rsidRPr="00644BDE">
        <w:rPr>
          <w:rFonts w:eastAsia="Calibri"/>
          <w:b/>
          <w:szCs w:val="24"/>
          <w:u w:val="none"/>
        </w:rPr>
        <w:t>PASKAIDROJUMA RAKSTS</w:t>
      </w:r>
    </w:p>
    <w:p w14:paraId="77534357" w14:textId="77777777" w:rsidR="00644BDE" w:rsidRPr="00644BDE" w:rsidRDefault="00644BDE" w:rsidP="00644BDE">
      <w:pPr>
        <w:spacing w:after="160" w:line="259" w:lineRule="auto"/>
        <w:jc w:val="center"/>
        <w:rPr>
          <w:rFonts w:eastAsia="Calibri"/>
          <w:b/>
          <w:bCs/>
          <w:szCs w:val="24"/>
          <w:u w:val="none"/>
        </w:rPr>
      </w:pPr>
      <w:r w:rsidRPr="00644BDE">
        <w:rPr>
          <w:rFonts w:eastAsia="Calibri"/>
          <w:b/>
          <w:bCs/>
          <w:szCs w:val="24"/>
          <w:u w:val="none"/>
        </w:rPr>
        <w:t xml:space="preserve">Gulbenes novada pašvaldības domes 2025.gada 27.februāra saistošajiem noteikumiem Nr. __ “Grozījums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Pr="00644BDE">
        <w:rPr>
          <w:rFonts w:eastAsia="Calibri"/>
          <w:b/>
          <w:bCs/>
          <w:szCs w:val="24"/>
          <w:u w:val="none"/>
        </w:rPr>
        <w:t>ārpusģimenes</w:t>
      </w:r>
      <w:proofErr w:type="spellEnd"/>
      <w:r w:rsidRPr="00644BDE">
        <w:rPr>
          <w:rFonts w:eastAsia="Calibri"/>
          <w:b/>
          <w:bCs/>
          <w:szCs w:val="24"/>
          <w:u w:val="none"/>
        </w:rPr>
        <w:t xml:space="preserve"> aprūpes izbeigšanās, un audžuģimenei vai specializētajai audžuģimenei””</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644BDE" w:rsidRPr="00644BDE" w14:paraId="5CE2116C" w14:textId="77777777" w:rsidTr="00053C85">
        <w:trPr>
          <w:trHeight w:val="691"/>
        </w:trPr>
        <w:tc>
          <w:tcPr>
            <w:tcW w:w="1564" w:type="pct"/>
            <w:tcBorders>
              <w:top w:val="outset" w:sz="6" w:space="0" w:color="414142"/>
              <w:left w:val="outset" w:sz="6" w:space="0" w:color="414142"/>
              <w:bottom w:val="outset" w:sz="6" w:space="0" w:color="414142"/>
              <w:right w:val="outset" w:sz="6" w:space="0" w:color="414142"/>
            </w:tcBorders>
            <w:hideMark/>
          </w:tcPr>
          <w:p w14:paraId="504B592A" w14:textId="77777777" w:rsidR="00644BDE" w:rsidRPr="00644BDE" w:rsidRDefault="00644BDE" w:rsidP="00644BDE">
            <w:pPr>
              <w:spacing w:after="160" w:line="259" w:lineRule="auto"/>
              <w:rPr>
                <w:rFonts w:eastAsia="Calibri"/>
                <w:b/>
                <w:bCs/>
                <w:szCs w:val="24"/>
                <w:u w:val="none"/>
              </w:rPr>
            </w:pPr>
            <w:r w:rsidRPr="00644BDE">
              <w:rPr>
                <w:rFonts w:eastAsia="Calibri"/>
                <w:b/>
                <w:bCs/>
                <w:szCs w:val="24"/>
                <w:u w:val="none"/>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75A88422" w14:textId="77777777" w:rsidR="00644BDE" w:rsidRPr="00644BDE" w:rsidRDefault="00644BDE" w:rsidP="00644BDE">
            <w:pPr>
              <w:spacing w:after="160" w:line="259" w:lineRule="auto"/>
              <w:rPr>
                <w:rFonts w:eastAsia="Calibri"/>
                <w:b/>
                <w:bCs/>
                <w:szCs w:val="24"/>
                <w:u w:val="none"/>
              </w:rPr>
            </w:pPr>
            <w:r w:rsidRPr="00644BDE">
              <w:rPr>
                <w:rFonts w:eastAsia="Calibri"/>
                <w:b/>
                <w:bCs/>
                <w:szCs w:val="24"/>
                <w:u w:val="none"/>
              </w:rPr>
              <w:t>Norādāmā informācija</w:t>
            </w:r>
          </w:p>
        </w:tc>
      </w:tr>
      <w:tr w:rsidR="00644BDE" w:rsidRPr="00644BDE" w14:paraId="03821DD6" w14:textId="77777777" w:rsidTr="00053C85">
        <w:tc>
          <w:tcPr>
            <w:tcW w:w="1564" w:type="pct"/>
            <w:tcBorders>
              <w:top w:val="outset" w:sz="6" w:space="0" w:color="414142"/>
              <w:left w:val="outset" w:sz="6" w:space="0" w:color="414142"/>
              <w:bottom w:val="outset" w:sz="6" w:space="0" w:color="414142"/>
              <w:right w:val="outset" w:sz="6" w:space="0" w:color="414142"/>
            </w:tcBorders>
          </w:tcPr>
          <w:p w14:paraId="67C34CD9" w14:textId="77777777" w:rsidR="00644BDE" w:rsidRPr="00644BDE" w:rsidRDefault="00644BDE" w:rsidP="00644BDE">
            <w:pPr>
              <w:spacing w:after="160" w:line="259" w:lineRule="auto"/>
              <w:rPr>
                <w:rFonts w:eastAsia="Calibri"/>
                <w:szCs w:val="24"/>
                <w:u w:val="none"/>
              </w:rPr>
            </w:pPr>
            <w:r w:rsidRPr="00644BDE">
              <w:rPr>
                <w:rFonts w:eastAsia="Calibri"/>
                <w:szCs w:val="24"/>
                <w:u w:val="none"/>
              </w:rPr>
              <w:t>1. Mērķis un nepieciešamības pamatojums</w:t>
            </w:r>
          </w:p>
          <w:p w14:paraId="4A682142" w14:textId="77777777" w:rsidR="00644BDE" w:rsidRPr="00644BDE" w:rsidRDefault="00644BDE" w:rsidP="00644BDE">
            <w:pPr>
              <w:spacing w:after="160" w:line="259" w:lineRule="auto"/>
              <w:rPr>
                <w:rFonts w:eastAsia="Calibri"/>
                <w:szCs w:val="24"/>
                <w:u w:val="none"/>
              </w:rPr>
            </w:pPr>
          </w:p>
          <w:p w14:paraId="17D0C78E" w14:textId="77777777" w:rsidR="00644BDE" w:rsidRPr="00644BDE" w:rsidRDefault="00644BDE" w:rsidP="00644BDE">
            <w:pPr>
              <w:spacing w:after="160" w:line="259" w:lineRule="auto"/>
              <w:rPr>
                <w:rFonts w:eastAsia="Calibri"/>
                <w:szCs w:val="24"/>
                <w:u w:val="none"/>
              </w:rPr>
            </w:pPr>
          </w:p>
          <w:p w14:paraId="3F845F9D" w14:textId="77777777" w:rsidR="00644BDE" w:rsidRPr="00644BDE" w:rsidRDefault="00644BDE" w:rsidP="00644BDE">
            <w:pPr>
              <w:spacing w:after="160" w:line="259" w:lineRule="auto"/>
              <w:rPr>
                <w:rFonts w:eastAsia="Calibri"/>
                <w:szCs w:val="24"/>
                <w:u w:val="none"/>
              </w:rPr>
            </w:pPr>
          </w:p>
          <w:p w14:paraId="5454D962" w14:textId="77777777" w:rsidR="00644BDE" w:rsidRPr="00644BDE" w:rsidRDefault="00644BDE" w:rsidP="00644BDE">
            <w:pPr>
              <w:spacing w:after="160" w:line="259" w:lineRule="auto"/>
              <w:rPr>
                <w:rFonts w:eastAsia="Calibri"/>
                <w:szCs w:val="24"/>
                <w:u w:val="none"/>
              </w:rPr>
            </w:pPr>
          </w:p>
          <w:p w14:paraId="56246C27" w14:textId="77777777" w:rsidR="00644BDE" w:rsidRPr="00644BDE" w:rsidRDefault="00644BDE" w:rsidP="00644BDE">
            <w:pPr>
              <w:spacing w:after="160" w:line="259" w:lineRule="auto"/>
              <w:rPr>
                <w:rFonts w:eastAsia="Calibri"/>
                <w:szCs w:val="24"/>
                <w:u w:val="none"/>
              </w:rPr>
            </w:pPr>
          </w:p>
          <w:p w14:paraId="4E55EF0E" w14:textId="77777777" w:rsidR="00644BDE" w:rsidRPr="00644BDE" w:rsidRDefault="00644BDE" w:rsidP="00644BDE">
            <w:pPr>
              <w:spacing w:after="160" w:line="259" w:lineRule="auto"/>
              <w:rPr>
                <w:rFonts w:eastAsia="Calibri"/>
                <w:szCs w:val="24"/>
                <w:u w:val="none"/>
              </w:rPr>
            </w:pPr>
          </w:p>
          <w:p w14:paraId="51C0D296" w14:textId="77777777" w:rsidR="00644BDE" w:rsidRPr="00644BDE" w:rsidRDefault="00644BDE" w:rsidP="00644BDE">
            <w:pPr>
              <w:spacing w:after="160" w:line="259" w:lineRule="auto"/>
              <w:rPr>
                <w:rFonts w:eastAsia="Calibri"/>
                <w:szCs w:val="24"/>
                <w:u w:val="none"/>
              </w:rPr>
            </w:pPr>
          </w:p>
          <w:p w14:paraId="6D5BB0E9" w14:textId="77777777" w:rsidR="00644BDE" w:rsidRPr="00644BDE" w:rsidRDefault="00644BDE" w:rsidP="00644BDE">
            <w:pPr>
              <w:spacing w:after="160" w:line="259" w:lineRule="auto"/>
              <w:rPr>
                <w:rFonts w:eastAsia="Calibri"/>
                <w:szCs w:val="24"/>
                <w:u w: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719ED47A"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 xml:space="preserve">Gulbenes novada pašvaldības domes 2025.gada 27.februāra saistošo noteikumu Nr.___ “Grozījums Gulbenes novada pašvaldības domes 2024.gada 30.maija saistošajos noteikumos Nr.9 “Par Gulbenes novada pašvaldības materiālās palīdzības pabalstiem bārenim un bez vecāku gādības palikušam bērnam pēc pilngadības sasniegšanas un </w:t>
            </w:r>
            <w:proofErr w:type="spellStart"/>
            <w:r w:rsidRPr="00644BDE">
              <w:rPr>
                <w:rFonts w:eastAsia="Calibri"/>
                <w:szCs w:val="24"/>
                <w:u w:val="none"/>
              </w:rPr>
              <w:t>ārpusģimenes</w:t>
            </w:r>
            <w:proofErr w:type="spellEnd"/>
            <w:r w:rsidRPr="00644BDE">
              <w:rPr>
                <w:rFonts w:eastAsia="Calibri"/>
                <w:szCs w:val="24"/>
                <w:u w:val="none"/>
              </w:rPr>
              <w:t xml:space="preserve"> aprūpes izbeigšanās, un audžuģimenei vai specializētajai audžuģimenei”” (turpmāk – saistošie noteikumi) izdošanas mērķis ir precizēt Gulbenes novada pašvaldības materiālās palīdzības pabalsta (turpmāk – pabalsts) ikmēneša izdevumiem apmēru, pamatojoties uz izmaiņām likuma “Par sociālo drošību” 2.</w:t>
            </w:r>
            <w:r w:rsidRPr="00644BDE">
              <w:rPr>
                <w:rFonts w:eastAsia="Calibri"/>
                <w:szCs w:val="24"/>
                <w:u w:val="none"/>
                <w:vertAlign w:val="superscript"/>
              </w:rPr>
              <w:t>2</w:t>
            </w:r>
            <w:r w:rsidRPr="00644BDE">
              <w:rPr>
                <w:rFonts w:eastAsia="Calibri"/>
                <w:szCs w:val="24"/>
                <w:u w:val="none"/>
              </w:rPr>
              <w:t xml:space="preserve"> panta otrajā daļā.</w:t>
            </w:r>
          </w:p>
          <w:p w14:paraId="754A33A5"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 xml:space="preserve">Ministru kabineta 2005.gada 15.novembra noteikumu Nr.857 “Noteikumi par sociālajām garantijām un atbalstu bārenim un bez vecāku gādības palikušajam bērnam, kurš ir </w:t>
            </w:r>
            <w:proofErr w:type="spellStart"/>
            <w:r w:rsidRPr="00644BDE">
              <w:rPr>
                <w:rFonts w:eastAsia="Calibri"/>
                <w:szCs w:val="24"/>
                <w:u w:val="none"/>
              </w:rPr>
              <w:t>ārpusģimenes</w:t>
            </w:r>
            <w:proofErr w:type="spellEnd"/>
            <w:r w:rsidRPr="00644BDE">
              <w:rPr>
                <w:rFonts w:eastAsia="Calibri"/>
                <w:szCs w:val="24"/>
                <w:u w:val="none"/>
              </w:rPr>
              <w:t xml:space="preserve"> aprūpē, kā arī pēc </w:t>
            </w:r>
            <w:proofErr w:type="spellStart"/>
            <w:r w:rsidRPr="00644BDE">
              <w:rPr>
                <w:rFonts w:eastAsia="Calibri"/>
                <w:szCs w:val="24"/>
                <w:u w:val="none"/>
              </w:rPr>
              <w:t>ārpusģimenes</w:t>
            </w:r>
            <w:proofErr w:type="spellEnd"/>
            <w:r w:rsidRPr="00644BDE">
              <w:rPr>
                <w:rFonts w:eastAsia="Calibri"/>
                <w:szCs w:val="24"/>
                <w:u w:val="none"/>
              </w:rPr>
              <w:t xml:space="preserve"> aprūpes beigšanās” (turpmāk – MK noteikumi) 24.</w:t>
            </w:r>
            <w:r w:rsidRPr="00644BDE">
              <w:rPr>
                <w:rFonts w:eastAsia="Calibri"/>
                <w:szCs w:val="24"/>
                <w:u w:val="none"/>
                <w:vertAlign w:val="superscript"/>
              </w:rPr>
              <w:t xml:space="preserve">13 </w:t>
            </w:r>
            <w:r w:rsidRPr="00644BDE">
              <w:rPr>
                <w:rFonts w:eastAsia="Calibri"/>
                <w:szCs w:val="24"/>
                <w:u w:val="none"/>
              </w:rPr>
              <w:t xml:space="preserve">punkts nosaka, ka, ja pilngadību sasniegušais bērns apgūst vispārējās pamatizglītības, vispārējās vidējās izglītības, profesionālās pamatizglītības, arodizglītības vai profesionālās vidējās izglītības programmu, pašvaldība, kuras bāriņtiesa pieņēmusi lēmumu par bērna </w:t>
            </w:r>
            <w:proofErr w:type="spellStart"/>
            <w:r w:rsidRPr="00644BDE">
              <w:rPr>
                <w:rFonts w:eastAsia="Calibri"/>
                <w:szCs w:val="24"/>
                <w:u w:val="none"/>
              </w:rPr>
              <w:t>ārpusģimenes</w:t>
            </w:r>
            <w:proofErr w:type="spellEnd"/>
            <w:r w:rsidRPr="00644BDE">
              <w:rPr>
                <w:rFonts w:eastAsia="Calibri"/>
                <w:szCs w:val="24"/>
                <w:u w:val="none"/>
              </w:rPr>
              <w:t xml:space="preserve"> aprūpi, viņam izmaksā pabalstu ikmēneša izdevumiem, kas nav mazāks par likuma “Par sociālo drošību” 2.</w:t>
            </w:r>
            <w:r w:rsidRPr="00644BDE">
              <w:rPr>
                <w:rFonts w:eastAsia="Calibri"/>
                <w:szCs w:val="24"/>
                <w:u w:val="none"/>
                <w:vertAlign w:val="superscript"/>
              </w:rPr>
              <w:t>2</w:t>
            </w:r>
            <w:r w:rsidRPr="00644BDE">
              <w:rPr>
                <w:rFonts w:eastAsia="Calibri"/>
                <w:szCs w:val="24"/>
                <w:u w:val="none"/>
              </w:rPr>
              <w:t xml:space="preserve"> panta otrajā daļā noteikto minimālo ienākumu sliekšņa apmēru (noapaļots līdz pilniem </w:t>
            </w:r>
            <w:proofErr w:type="spellStart"/>
            <w:r w:rsidRPr="00644BDE">
              <w:rPr>
                <w:rFonts w:eastAsia="Calibri"/>
                <w:i/>
                <w:iCs/>
                <w:szCs w:val="24"/>
                <w:u w:val="none"/>
              </w:rPr>
              <w:t>euro</w:t>
            </w:r>
            <w:proofErr w:type="spellEnd"/>
            <w:r w:rsidRPr="00644BDE">
              <w:rPr>
                <w:rFonts w:eastAsia="Calibri"/>
                <w:szCs w:val="24"/>
                <w:u w:val="none"/>
              </w:rPr>
              <w:t xml:space="preserve">), bet personām ar invaliditāti kopš bērnības nav mazāks par 30 procentiem (noapaļots līdz pilniem </w:t>
            </w:r>
            <w:proofErr w:type="spellStart"/>
            <w:r w:rsidRPr="00644BDE">
              <w:rPr>
                <w:rFonts w:eastAsia="Calibri"/>
                <w:i/>
                <w:iCs/>
                <w:szCs w:val="24"/>
                <w:u w:val="none"/>
              </w:rPr>
              <w:t>euro</w:t>
            </w:r>
            <w:proofErr w:type="spellEnd"/>
            <w:r w:rsidRPr="00644BDE">
              <w:rPr>
                <w:rFonts w:eastAsia="Calibri"/>
                <w:szCs w:val="24"/>
                <w:u w:val="none"/>
              </w:rPr>
              <w:t xml:space="preserve">) no Centrālās statistikas </w:t>
            </w:r>
            <w:r w:rsidRPr="00644BDE">
              <w:rPr>
                <w:rFonts w:eastAsia="Calibri"/>
                <w:szCs w:val="24"/>
                <w:u w:val="none"/>
              </w:rPr>
              <w:lastRenderedPageBreak/>
              <w:t xml:space="preserve">pārvaldes publicētās aktuālās minimālo ienākumu mediānas uz vienu ekvivalento patērētāju mēnesī. </w:t>
            </w:r>
          </w:p>
          <w:p w14:paraId="3AAC2D5D"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MK noteikumu 24.</w:t>
            </w:r>
            <w:r w:rsidRPr="00644BDE">
              <w:rPr>
                <w:rFonts w:eastAsia="Calibri"/>
                <w:szCs w:val="24"/>
                <w:u w:val="none"/>
                <w:vertAlign w:val="superscript"/>
              </w:rPr>
              <w:t xml:space="preserve">14 </w:t>
            </w:r>
            <w:r w:rsidRPr="00644BDE">
              <w:rPr>
                <w:rFonts w:eastAsia="Calibri"/>
                <w:szCs w:val="24"/>
                <w:u w:val="none"/>
              </w:rPr>
              <w:t xml:space="preserve">punkts nosaka, ka, ja pilngadību sasniegušais bērns apgūst augstākās izglītības programmu, pašvaldība, kuras bāriņtiesa pieņēmusi lēmumu par bērna </w:t>
            </w:r>
            <w:proofErr w:type="spellStart"/>
            <w:r w:rsidRPr="00644BDE">
              <w:rPr>
                <w:rFonts w:eastAsia="Calibri"/>
                <w:szCs w:val="24"/>
                <w:u w:val="none"/>
              </w:rPr>
              <w:t>ārpusģimenes</w:t>
            </w:r>
            <w:proofErr w:type="spellEnd"/>
            <w:r w:rsidRPr="00644BDE">
              <w:rPr>
                <w:rFonts w:eastAsia="Calibri"/>
                <w:szCs w:val="24"/>
                <w:u w:val="none"/>
              </w:rPr>
              <w:t xml:space="preserve"> aprūpi, viņam izmaksā pabalstu ikmēneša izdevumiem, kas nav mazāks par likuma “Par sociālo drošību” 2.</w:t>
            </w:r>
            <w:r w:rsidRPr="00644BDE">
              <w:rPr>
                <w:rFonts w:eastAsia="Calibri"/>
                <w:szCs w:val="24"/>
                <w:u w:val="none"/>
                <w:vertAlign w:val="superscript"/>
              </w:rPr>
              <w:t>2</w:t>
            </w:r>
            <w:r w:rsidRPr="00644BDE">
              <w:rPr>
                <w:rFonts w:eastAsia="Calibri"/>
                <w:szCs w:val="24"/>
                <w:u w:val="none"/>
              </w:rPr>
              <w:t xml:space="preserve"> panta otrajā daļā noteikto minimālo ienākumu sliekšņa apmēru (noapaļots līdz pilniem </w:t>
            </w:r>
            <w:proofErr w:type="spellStart"/>
            <w:r w:rsidRPr="00644BDE">
              <w:rPr>
                <w:rFonts w:eastAsia="Calibri"/>
                <w:i/>
                <w:iCs/>
                <w:szCs w:val="24"/>
                <w:u w:val="none"/>
              </w:rPr>
              <w:t>euro</w:t>
            </w:r>
            <w:proofErr w:type="spellEnd"/>
            <w:r w:rsidRPr="00644BDE">
              <w:rPr>
                <w:rFonts w:eastAsia="Calibri"/>
                <w:szCs w:val="24"/>
                <w:u w:val="none"/>
              </w:rPr>
              <w:t xml:space="preserve">), bet personām ar invaliditāti kopš bērnības nav mazāks par 30 procentiem (noapaļots līdz pilniem </w:t>
            </w:r>
            <w:proofErr w:type="spellStart"/>
            <w:r w:rsidRPr="00644BDE">
              <w:rPr>
                <w:rFonts w:eastAsia="Calibri"/>
                <w:i/>
                <w:iCs/>
                <w:szCs w:val="24"/>
                <w:u w:val="none"/>
              </w:rPr>
              <w:t>euro</w:t>
            </w:r>
            <w:proofErr w:type="spellEnd"/>
            <w:r w:rsidRPr="00644BDE">
              <w:rPr>
                <w:rFonts w:eastAsia="Calibri"/>
                <w:szCs w:val="24"/>
                <w:u w:val="none"/>
              </w:rPr>
              <w:t>) no Centrālās statistikas pārvaldes publicētās aktuālās minimālo ienākumu mediānas uz vienu ekvivalento patērētāju mēnesī. Pabalsta izmaksu aptur studiju pārtraukuma laikā un to atjauno, ja studijas tiek atsāktas. Par studiju pārtraukšanu studiju procesu regulējošajos normatīvajos aktos noteiktajā kārtībā pilngadību sasniegušajam bērnam ir pienākums nekavējoties informēt pašvaldību, kura izmaksā pabalstu ikmēneša izdevumiem.</w:t>
            </w:r>
          </w:p>
          <w:p w14:paraId="7A551C54"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Līdz šim likuma “Par sociālo drošību” 2.</w:t>
            </w:r>
            <w:r w:rsidRPr="00644BDE">
              <w:rPr>
                <w:rFonts w:eastAsia="Calibri"/>
                <w:szCs w:val="24"/>
                <w:u w:val="none"/>
                <w:vertAlign w:val="superscript"/>
              </w:rPr>
              <w:t>2</w:t>
            </w:r>
            <w:r w:rsidRPr="00644BDE">
              <w:rPr>
                <w:rFonts w:eastAsia="Calibri"/>
                <w:szCs w:val="24"/>
                <w:u w:val="none"/>
              </w:rPr>
              <w:t xml:space="preserve"> panta otrajā daļā bija noteikts, ka minimālo ienākumu slieksnis nav zemāks par 20 procentiem (noapaļots līdz pilniem </w:t>
            </w:r>
            <w:proofErr w:type="spellStart"/>
            <w:r w:rsidRPr="00644BDE">
              <w:rPr>
                <w:rFonts w:eastAsia="Calibri"/>
                <w:i/>
                <w:iCs/>
                <w:szCs w:val="24"/>
                <w:u w:val="none"/>
              </w:rPr>
              <w:t>euro</w:t>
            </w:r>
            <w:proofErr w:type="spellEnd"/>
            <w:r w:rsidRPr="00644BDE">
              <w:rPr>
                <w:rFonts w:eastAsia="Calibri"/>
                <w:szCs w:val="24"/>
                <w:u w:val="none"/>
              </w:rPr>
              <w:t xml:space="preserve">) no Centrālās statistikas pārvaldes tīmekļvietnē publicētās minimālo ienākumu mediānas uz vienu ekvivalento patērētāju mēnesī. 2025.gada 1.janvārī stājās spēkā grozījumi likumā “Par sociālo drošību”, nosakot, ka no 2025.gada 1.janvāra minimālo ienākumu slieksnis nav zemāks par 22 procentiem (noapaļots līdz pilniem </w:t>
            </w:r>
            <w:proofErr w:type="spellStart"/>
            <w:r w:rsidRPr="00644BDE">
              <w:rPr>
                <w:rFonts w:eastAsia="Calibri"/>
                <w:i/>
                <w:iCs/>
                <w:szCs w:val="24"/>
                <w:u w:val="none"/>
              </w:rPr>
              <w:t>euro</w:t>
            </w:r>
            <w:proofErr w:type="spellEnd"/>
            <w:r w:rsidRPr="00644BDE">
              <w:rPr>
                <w:rFonts w:eastAsia="Calibri"/>
                <w:szCs w:val="24"/>
                <w:u w:val="none"/>
              </w:rPr>
              <w:t>) no Centrālās statistikas pārvaldes tīmekļvietnē publicētās minimālo ienākumu mediānas uz vienu ekvivalento patērētāju mēnesī.</w:t>
            </w:r>
          </w:p>
          <w:p w14:paraId="2E2CB0A9"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Iespējamā alternatīva, kas neparedz tiesiskā regulējuma izstrādi, – nav.</w:t>
            </w:r>
          </w:p>
        </w:tc>
      </w:tr>
      <w:tr w:rsidR="00644BDE" w:rsidRPr="00644BDE" w14:paraId="71D80BA2" w14:textId="77777777" w:rsidTr="00053C85">
        <w:trPr>
          <w:trHeight w:val="2063"/>
        </w:trPr>
        <w:tc>
          <w:tcPr>
            <w:tcW w:w="1564" w:type="pct"/>
            <w:tcBorders>
              <w:top w:val="outset" w:sz="6" w:space="0" w:color="414142"/>
              <w:left w:val="outset" w:sz="6" w:space="0" w:color="414142"/>
              <w:bottom w:val="outset" w:sz="6" w:space="0" w:color="414142"/>
              <w:right w:val="outset" w:sz="6" w:space="0" w:color="414142"/>
            </w:tcBorders>
          </w:tcPr>
          <w:p w14:paraId="31BF576F" w14:textId="77777777" w:rsidR="00644BDE" w:rsidRPr="00644BDE" w:rsidRDefault="00644BDE" w:rsidP="00644BDE">
            <w:pPr>
              <w:spacing w:after="160" w:line="259" w:lineRule="auto"/>
              <w:rPr>
                <w:rFonts w:eastAsia="Calibri"/>
                <w:szCs w:val="24"/>
                <w:u w:val="none"/>
              </w:rPr>
            </w:pPr>
            <w:r w:rsidRPr="00644BDE">
              <w:rPr>
                <w:rFonts w:eastAsia="Calibri"/>
                <w:szCs w:val="24"/>
                <w:u w:val="none"/>
              </w:rPr>
              <w:t>2. Fiskālā ietekme uz pašvaldības budžetu</w:t>
            </w:r>
          </w:p>
          <w:p w14:paraId="148A1C1D" w14:textId="77777777" w:rsidR="00644BDE" w:rsidRPr="00644BDE" w:rsidRDefault="00644BDE" w:rsidP="00644BDE">
            <w:pPr>
              <w:spacing w:after="160" w:line="259" w:lineRule="auto"/>
              <w:rPr>
                <w:rFonts w:eastAsia="Calibri"/>
                <w:szCs w:val="24"/>
                <w:u w:val="none"/>
              </w:rPr>
            </w:pPr>
          </w:p>
        </w:tc>
        <w:tc>
          <w:tcPr>
            <w:tcW w:w="3436" w:type="pct"/>
            <w:tcBorders>
              <w:top w:val="outset" w:sz="6" w:space="0" w:color="414142"/>
              <w:left w:val="outset" w:sz="6" w:space="0" w:color="414142"/>
              <w:bottom w:val="outset" w:sz="6" w:space="0" w:color="414142"/>
              <w:right w:val="outset" w:sz="6" w:space="0" w:color="414142"/>
            </w:tcBorders>
            <w:hideMark/>
          </w:tcPr>
          <w:p w14:paraId="11652F66" w14:textId="77777777" w:rsidR="00644BDE" w:rsidRPr="00644BDE" w:rsidRDefault="00644BDE" w:rsidP="00644BDE">
            <w:pPr>
              <w:spacing w:after="160" w:line="259" w:lineRule="auto"/>
              <w:ind w:firstLine="394"/>
              <w:rPr>
                <w:rFonts w:eastAsia="Calibri"/>
                <w:iCs/>
                <w:szCs w:val="24"/>
                <w:u w:val="none"/>
              </w:rPr>
            </w:pPr>
            <w:r w:rsidRPr="00644BDE">
              <w:rPr>
                <w:rFonts w:eastAsia="Calibri"/>
                <w:iCs/>
                <w:szCs w:val="24"/>
                <w:u w:val="none"/>
              </w:rPr>
              <w:t xml:space="preserve">Ņemot vērā to, ka uz saistošo noteikumu izdošanas brīdi uz pabalsta ikmēneša izdevumiem saņemšanu var pretendēt 24 bāreņi un bez vecāku gādības palikuši bērni pēc pilngadības sasniegšanas un </w:t>
            </w:r>
            <w:proofErr w:type="spellStart"/>
            <w:r w:rsidRPr="00644BDE">
              <w:rPr>
                <w:rFonts w:eastAsia="Calibri"/>
                <w:iCs/>
                <w:szCs w:val="24"/>
                <w:u w:val="none"/>
              </w:rPr>
              <w:t>ārpusģimenes</w:t>
            </w:r>
            <w:proofErr w:type="spellEnd"/>
            <w:r w:rsidRPr="00644BDE">
              <w:rPr>
                <w:rFonts w:eastAsia="Calibri"/>
                <w:iCs/>
                <w:szCs w:val="24"/>
                <w:u w:val="none"/>
              </w:rPr>
              <w:t xml:space="preserve"> aprūpes izbeigšanās (turpmāk – pilngadību sasniegusī persona), Gulbenes novada pašvaldības budžeta izdevumi pabalsta ikmēneša izdevumiem nodrošināšanai palielināsies par 360,00 </w:t>
            </w:r>
            <w:proofErr w:type="spellStart"/>
            <w:r w:rsidRPr="00644BDE">
              <w:rPr>
                <w:rFonts w:eastAsia="Calibri"/>
                <w:i/>
                <w:szCs w:val="24"/>
                <w:u w:val="none"/>
              </w:rPr>
              <w:t>euro</w:t>
            </w:r>
            <w:proofErr w:type="spellEnd"/>
            <w:r w:rsidRPr="00644BDE">
              <w:rPr>
                <w:rFonts w:eastAsia="Calibri"/>
                <w:iCs/>
                <w:szCs w:val="24"/>
                <w:u w:val="none"/>
              </w:rPr>
              <w:t xml:space="preserve"> mēnesī, proti, 4320,00 </w:t>
            </w:r>
            <w:proofErr w:type="spellStart"/>
            <w:r w:rsidRPr="00644BDE">
              <w:rPr>
                <w:rFonts w:eastAsia="Calibri"/>
                <w:i/>
                <w:szCs w:val="24"/>
                <w:u w:val="none"/>
              </w:rPr>
              <w:t>euro</w:t>
            </w:r>
            <w:proofErr w:type="spellEnd"/>
            <w:r w:rsidRPr="00644BDE">
              <w:rPr>
                <w:rFonts w:eastAsia="Calibri"/>
                <w:iCs/>
                <w:szCs w:val="24"/>
                <w:u w:val="none"/>
              </w:rPr>
              <w:t xml:space="preserve"> gadā. </w:t>
            </w:r>
          </w:p>
        </w:tc>
      </w:tr>
      <w:tr w:rsidR="00644BDE" w:rsidRPr="00644BDE" w14:paraId="3B11D160" w14:textId="77777777" w:rsidTr="00053C85">
        <w:tc>
          <w:tcPr>
            <w:tcW w:w="1564" w:type="pct"/>
            <w:tcBorders>
              <w:top w:val="outset" w:sz="6" w:space="0" w:color="414142"/>
              <w:left w:val="outset" w:sz="6" w:space="0" w:color="414142"/>
              <w:bottom w:val="outset" w:sz="6" w:space="0" w:color="414142"/>
              <w:right w:val="outset" w:sz="6" w:space="0" w:color="414142"/>
            </w:tcBorders>
            <w:hideMark/>
          </w:tcPr>
          <w:p w14:paraId="08432CCF" w14:textId="77777777" w:rsidR="00644BDE" w:rsidRPr="00644BDE" w:rsidRDefault="00644BDE" w:rsidP="00644BDE">
            <w:pPr>
              <w:spacing w:after="160" w:line="259" w:lineRule="auto"/>
              <w:rPr>
                <w:rFonts w:eastAsia="Calibri"/>
                <w:szCs w:val="24"/>
                <w:u w:val="none"/>
              </w:rPr>
            </w:pPr>
            <w:r w:rsidRPr="00644BDE">
              <w:rPr>
                <w:rFonts w:eastAsia="Calibri"/>
                <w:szCs w:val="24"/>
                <w:u w:val="none"/>
              </w:rPr>
              <w:t>3. Sociālā ietekme, ietekme uz vidi, iedzīvotāju veselību, uzņēmējdarbības vidi 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141AA47E" w14:textId="66BDB81A" w:rsidR="00644BDE" w:rsidRPr="00644BDE" w:rsidRDefault="00644BDE" w:rsidP="00644BDE">
            <w:pPr>
              <w:ind w:firstLine="391"/>
              <w:rPr>
                <w:rFonts w:eastAsia="Calibri"/>
                <w:szCs w:val="24"/>
                <w:u w:val="none"/>
              </w:rPr>
            </w:pPr>
            <w:r w:rsidRPr="00644BDE">
              <w:rPr>
                <w:rFonts w:eastAsia="Calibri"/>
                <w:szCs w:val="24"/>
                <w:u w:val="none"/>
              </w:rPr>
              <w:t>3.1</w:t>
            </w:r>
            <w:r>
              <w:rPr>
                <w:rFonts w:eastAsia="Calibri"/>
                <w:szCs w:val="24"/>
                <w:u w:val="none"/>
              </w:rPr>
              <w:t>.</w:t>
            </w:r>
            <w:r w:rsidRPr="00644BDE">
              <w:rPr>
                <w:rFonts w:eastAsia="Calibri"/>
                <w:szCs w:val="24"/>
                <w:u w:val="none"/>
              </w:rPr>
              <w:t xml:space="preserve">sociālā ietekme – saistošajos noteikumos paredzētā pabalsta ikmēneša izdevumiem apmēra palielināšana sekmēs pilngadību sasniegušo personu patstāvīgas dzīves uzsākšanu un sociālo nodrošinātību;  </w:t>
            </w:r>
          </w:p>
          <w:p w14:paraId="5D253E74" w14:textId="47290A22" w:rsidR="00644BDE" w:rsidRPr="00644BDE" w:rsidRDefault="00644BDE" w:rsidP="00644BDE">
            <w:pPr>
              <w:ind w:firstLine="391"/>
              <w:rPr>
                <w:rFonts w:eastAsia="Calibri"/>
                <w:szCs w:val="24"/>
                <w:u w:val="none"/>
              </w:rPr>
            </w:pPr>
            <w:r w:rsidRPr="00644BDE">
              <w:rPr>
                <w:rFonts w:eastAsia="Calibri"/>
                <w:szCs w:val="24"/>
                <w:u w:val="none"/>
              </w:rPr>
              <w:t>3.2</w:t>
            </w:r>
            <w:r>
              <w:rPr>
                <w:rFonts w:eastAsia="Calibri"/>
                <w:szCs w:val="24"/>
                <w:u w:val="none"/>
              </w:rPr>
              <w:t>.</w:t>
            </w:r>
            <w:r w:rsidRPr="00644BDE">
              <w:rPr>
                <w:rFonts w:eastAsia="Calibri"/>
                <w:szCs w:val="24"/>
                <w:u w:val="none"/>
              </w:rPr>
              <w:t xml:space="preserve">ietekme uz vidi – nav; </w:t>
            </w:r>
          </w:p>
          <w:p w14:paraId="78D9C952" w14:textId="17ED90C2" w:rsidR="00644BDE" w:rsidRPr="00644BDE" w:rsidRDefault="00644BDE" w:rsidP="00644BDE">
            <w:pPr>
              <w:ind w:firstLine="391"/>
              <w:rPr>
                <w:rFonts w:eastAsia="Calibri"/>
                <w:szCs w:val="24"/>
                <w:u w:val="none"/>
              </w:rPr>
            </w:pPr>
            <w:r w:rsidRPr="00644BDE">
              <w:rPr>
                <w:rFonts w:eastAsia="Calibri"/>
                <w:szCs w:val="24"/>
                <w:u w:val="none"/>
              </w:rPr>
              <w:t>3.3</w:t>
            </w:r>
            <w:r>
              <w:rPr>
                <w:rFonts w:eastAsia="Calibri"/>
                <w:szCs w:val="24"/>
                <w:u w:val="none"/>
              </w:rPr>
              <w:t>.</w:t>
            </w:r>
            <w:r w:rsidRPr="00644BDE">
              <w:rPr>
                <w:rFonts w:eastAsia="Calibri"/>
                <w:szCs w:val="24"/>
                <w:u w:val="none"/>
              </w:rPr>
              <w:t>ietekme uz iedzīvotāju veselību – nav;</w:t>
            </w:r>
          </w:p>
          <w:p w14:paraId="560D3F2E" w14:textId="3B45A477" w:rsidR="00644BDE" w:rsidRPr="00644BDE" w:rsidRDefault="00644BDE" w:rsidP="00644BDE">
            <w:pPr>
              <w:ind w:firstLine="391"/>
              <w:rPr>
                <w:rFonts w:eastAsia="Calibri"/>
                <w:szCs w:val="24"/>
                <w:u w:val="none"/>
              </w:rPr>
            </w:pPr>
            <w:r w:rsidRPr="00644BDE">
              <w:rPr>
                <w:rFonts w:eastAsia="Calibri"/>
                <w:szCs w:val="24"/>
                <w:u w:val="none"/>
              </w:rPr>
              <w:t>3.4</w:t>
            </w:r>
            <w:r>
              <w:rPr>
                <w:rFonts w:eastAsia="Calibri"/>
                <w:szCs w:val="24"/>
                <w:u w:val="none"/>
              </w:rPr>
              <w:t>.</w:t>
            </w:r>
            <w:r w:rsidRPr="00644BDE">
              <w:rPr>
                <w:rFonts w:eastAsia="Calibri"/>
                <w:szCs w:val="24"/>
                <w:u w:val="none"/>
              </w:rPr>
              <w:t xml:space="preserve"> ietekme uz uzņēmējdarbības vidi pašvaldības teritorijā – nav;</w:t>
            </w:r>
          </w:p>
          <w:p w14:paraId="553DB33B" w14:textId="61287513" w:rsidR="00644BDE" w:rsidRPr="00644BDE" w:rsidRDefault="00644BDE" w:rsidP="00644BDE">
            <w:pPr>
              <w:ind w:firstLine="391"/>
              <w:rPr>
                <w:rFonts w:eastAsia="Calibri"/>
                <w:szCs w:val="24"/>
                <w:u w:val="none"/>
              </w:rPr>
            </w:pPr>
            <w:r w:rsidRPr="00644BDE">
              <w:rPr>
                <w:rFonts w:eastAsia="Calibri"/>
                <w:szCs w:val="24"/>
                <w:u w:val="none"/>
              </w:rPr>
              <w:t>3.5</w:t>
            </w:r>
            <w:r>
              <w:rPr>
                <w:rFonts w:eastAsia="Calibri"/>
                <w:szCs w:val="24"/>
                <w:u w:val="none"/>
              </w:rPr>
              <w:t>.</w:t>
            </w:r>
            <w:r w:rsidRPr="00644BDE">
              <w:rPr>
                <w:rFonts w:eastAsia="Calibri"/>
                <w:szCs w:val="24"/>
                <w:u w:val="none"/>
              </w:rPr>
              <w:t xml:space="preserve">ietekme uz konkurenci – nav. </w:t>
            </w:r>
          </w:p>
        </w:tc>
      </w:tr>
      <w:tr w:rsidR="00644BDE" w:rsidRPr="00644BDE" w14:paraId="6329BE88" w14:textId="77777777" w:rsidTr="00053C85">
        <w:tc>
          <w:tcPr>
            <w:tcW w:w="1564" w:type="pct"/>
            <w:tcBorders>
              <w:top w:val="outset" w:sz="6" w:space="0" w:color="414142"/>
              <w:left w:val="outset" w:sz="6" w:space="0" w:color="414142"/>
              <w:bottom w:val="outset" w:sz="6" w:space="0" w:color="414142"/>
              <w:right w:val="outset" w:sz="6" w:space="0" w:color="414142"/>
            </w:tcBorders>
            <w:hideMark/>
          </w:tcPr>
          <w:p w14:paraId="359A1BC7" w14:textId="77777777" w:rsidR="00644BDE" w:rsidRPr="00644BDE" w:rsidRDefault="00644BDE" w:rsidP="00644BDE">
            <w:pPr>
              <w:spacing w:after="160" w:line="259" w:lineRule="auto"/>
              <w:rPr>
                <w:rFonts w:eastAsia="Calibri"/>
                <w:szCs w:val="24"/>
                <w:u w:val="none"/>
              </w:rPr>
            </w:pPr>
            <w:r w:rsidRPr="00644BDE">
              <w:rPr>
                <w:rFonts w:eastAsia="Calibri"/>
                <w:szCs w:val="24"/>
                <w:u w:val="none"/>
              </w:rPr>
              <w:lastRenderedPageBreak/>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74287B34"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4.1.</w:t>
            </w:r>
            <w:r w:rsidRPr="00644BDE">
              <w:rPr>
                <w:rFonts w:eastAsia="Calibri"/>
                <w:szCs w:val="24"/>
                <w:u w:val="none"/>
              </w:rPr>
              <w:tab/>
              <w:t xml:space="preserve"> saistošo noteikumu piemērošanā privātpersona var vērsties Gulbenes novada sociālajā dienestā; </w:t>
            </w:r>
          </w:p>
          <w:p w14:paraId="500B78E5"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4.2.</w:t>
            </w:r>
            <w:r w:rsidRPr="00644BDE">
              <w:rPr>
                <w:rFonts w:eastAsia="Calibri"/>
                <w:szCs w:val="24"/>
                <w:u w:val="none"/>
              </w:rPr>
              <w:tab/>
              <w:t xml:space="preserve"> saistošie noteikumi neparedz papildu administratīvo procedūru izmaksas.</w:t>
            </w:r>
          </w:p>
        </w:tc>
      </w:tr>
      <w:tr w:rsidR="00644BDE" w:rsidRPr="00644BDE" w14:paraId="40117E97" w14:textId="77777777" w:rsidTr="00053C85">
        <w:tc>
          <w:tcPr>
            <w:tcW w:w="1564" w:type="pct"/>
            <w:tcBorders>
              <w:top w:val="outset" w:sz="6" w:space="0" w:color="414142"/>
              <w:left w:val="outset" w:sz="6" w:space="0" w:color="414142"/>
              <w:bottom w:val="outset" w:sz="6" w:space="0" w:color="414142"/>
              <w:right w:val="outset" w:sz="6" w:space="0" w:color="414142"/>
            </w:tcBorders>
            <w:hideMark/>
          </w:tcPr>
          <w:p w14:paraId="537F6356" w14:textId="77777777" w:rsidR="00644BDE" w:rsidRPr="00644BDE" w:rsidRDefault="00644BDE" w:rsidP="00644BDE">
            <w:pPr>
              <w:spacing w:after="160" w:line="259" w:lineRule="auto"/>
              <w:rPr>
                <w:rFonts w:eastAsia="Calibri"/>
                <w:szCs w:val="24"/>
                <w:u w:val="none"/>
              </w:rPr>
            </w:pPr>
            <w:r w:rsidRPr="00644BDE">
              <w:rPr>
                <w:rFonts w:eastAsia="Calibri"/>
                <w:szCs w:val="24"/>
                <w:u w:val="none"/>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5912C4B7"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 xml:space="preserve"> Saistošie noteikumi neparedz iesaistīt papildu cilvēkresursus un tiks īstenoti esošo cilvēkresursu ietvaros.</w:t>
            </w:r>
          </w:p>
        </w:tc>
      </w:tr>
      <w:tr w:rsidR="00644BDE" w:rsidRPr="00644BDE" w14:paraId="23A88AE9" w14:textId="77777777" w:rsidTr="00053C85">
        <w:tc>
          <w:tcPr>
            <w:tcW w:w="1564" w:type="pct"/>
            <w:tcBorders>
              <w:top w:val="outset" w:sz="6" w:space="0" w:color="414142"/>
              <w:left w:val="outset" w:sz="6" w:space="0" w:color="414142"/>
              <w:bottom w:val="outset" w:sz="6" w:space="0" w:color="414142"/>
              <w:right w:val="outset" w:sz="6" w:space="0" w:color="414142"/>
            </w:tcBorders>
            <w:hideMark/>
          </w:tcPr>
          <w:p w14:paraId="7A324616" w14:textId="77777777" w:rsidR="00644BDE" w:rsidRPr="00644BDE" w:rsidRDefault="00644BDE" w:rsidP="00644BDE">
            <w:pPr>
              <w:spacing w:after="160" w:line="259" w:lineRule="auto"/>
              <w:rPr>
                <w:rFonts w:eastAsia="Calibri"/>
                <w:szCs w:val="24"/>
                <w:u w:val="none"/>
              </w:rPr>
            </w:pPr>
            <w:r w:rsidRPr="00644BDE">
              <w:rPr>
                <w:rFonts w:eastAsia="Calibri"/>
                <w:szCs w:val="24"/>
                <w:u w:val="none"/>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75B7B506"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 xml:space="preserve"> Saistošo noteikumu izpildi nodrošinās Gulbenes novada sociālais dienests.</w:t>
            </w:r>
          </w:p>
        </w:tc>
      </w:tr>
      <w:tr w:rsidR="00644BDE" w:rsidRPr="00644BDE" w14:paraId="62026D5A" w14:textId="77777777" w:rsidTr="00053C85">
        <w:tc>
          <w:tcPr>
            <w:tcW w:w="1564" w:type="pct"/>
            <w:tcBorders>
              <w:top w:val="outset" w:sz="6" w:space="0" w:color="414142"/>
              <w:left w:val="outset" w:sz="6" w:space="0" w:color="414142"/>
              <w:bottom w:val="outset" w:sz="6" w:space="0" w:color="414142"/>
              <w:right w:val="outset" w:sz="6" w:space="0" w:color="414142"/>
            </w:tcBorders>
            <w:hideMark/>
          </w:tcPr>
          <w:p w14:paraId="13E5DD7F" w14:textId="77777777" w:rsidR="00644BDE" w:rsidRPr="00644BDE" w:rsidRDefault="00644BDE" w:rsidP="00644BDE">
            <w:pPr>
              <w:spacing w:after="160" w:line="259" w:lineRule="auto"/>
              <w:rPr>
                <w:rFonts w:eastAsia="Calibri"/>
                <w:szCs w:val="24"/>
                <w:u w:val="none"/>
              </w:rPr>
            </w:pPr>
            <w:r w:rsidRPr="00644BDE">
              <w:rPr>
                <w:rFonts w:eastAsia="Calibri"/>
                <w:szCs w:val="24"/>
                <w:u w:val="none"/>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hideMark/>
          </w:tcPr>
          <w:p w14:paraId="746F043C"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 xml:space="preserve"> Saistošo noteikumu īstenošanas izmaksas ir atbilstošas iecerētā mērķa sasniegšanai – sniegt materiālo palīdzību pilngadību sasniegušai personai līdz 24 gadu vecuma sasniegšanai, ja lēmumu par </w:t>
            </w:r>
            <w:proofErr w:type="spellStart"/>
            <w:r w:rsidRPr="00644BDE">
              <w:rPr>
                <w:rFonts w:eastAsia="Calibri"/>
                <w:szCs w:val="24"/>
                <w:u w:val="none"/>
              </w:rPr>
              <w:t>ārpusģimenes</w:t>
            </w:r>
            <w:proofErr w:type="spellEnd"/>
            <w:r w:rsidRPr="00644BDE">
              <w:rPr>
                <w:rFonts w:eastAsia="Calibri"/>
                <w:szCs w:val="24"/>
                <w:u w:val="none"/>
              </w:rPr>
              <w:t xml:space="preserve"> aprūpi pieņēmusi Gulbenes novada bāriņtiesa un ja pilngadību sasniegusī persona apgūst vispārējās pamatizglītības, vispārējās vidējās izglītības, profesionālās pamatizglītības, arodizglītības, profesionālās vidējās izglītības vai augstākās studiju izglītības programmu.</w:t>
            </w:r>
          </w:p>
        </w:tc>
      </w:tr>
      <w:tr w:rsidR="00644BDE" w:rsidRPr="00644BDE" w14:paraId="48898819" w14:textId="77777777" w:rsidTr="00053C85">
        <w:tc>
          <w:tcPr>
            <w:tcW w:w="1564" w:type="pct"/>
            <w:tcBorders>
              <w:top w:val="outset" w:sz="6" w:space="0" w:color="414142"/>
              <w:left w:val="outset" w:sz="6" w:space="0" w:color="414142"/>
              <w:bottom w:val="outset" w:sz="6" w:space="0" w:color="414142"/>
              <w:right w:val="outset" w:sz="6" w:space="0" w:color="414142"/>
            </w:tcBorders>
            <w:hideMark/>
          </w:tcPr>
          <w:p w14:paraId="122A03C5" w14:textId="77777777" w:rsidR="00644BDE" w:rsidRPr="00644BDE" w:rsidRDefault="00644BDE" w:rsidP="00644BDE">
            <w:pPr>
              <w:spacing w:after="160" w:line="259" w:lineRule="auto"/>
              <w:rPr>
                <w:rFonts w:eastAsia="Calibri"/>
                <w:szCs w:val="24"/>
                <w:u w:val="none"/>
              </w:rPr>
            </w:pPr>
            <w:r w:rsidRPr="00644BDE">
              <w:rPr>
                <w:rFonts w:eastAsia="Calibri"/>
                <w:szCs w:val="24"/>
                <w:u w:val="none"/>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hideMark/>
          </w:tcPr>
          <w:p w14:paraId="70DF4985"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 xml:space="preserve"> Atbilstoši Pašvaldību likuma 46.panta trešajai daļai, lai informētu sabiedrību par saistošo noteikumu projektu un dotu iespēju izteikt viedokli, saistošo noteikumu projekts no 2025.gada 23.janvāra līdz 2025.gada 5.februārim tika publicēts Gulbenes novada pašvaldības mājaslapā </w:t>
            </w:r>
            <w:hyperlink r:id="rId14" w:history="1">
              <w:r w:rsidRPr="00644BDE">
                <w:rPr>
                  <w:rFonts w:eastAsia="Calibri"/>
                  <w:color w:val="0563C1"/>
                  <w:szCs w:val="24"/>
                </w:rPr>
                <w:t>https://www.gulbene.lv/lv</w:t>
              </w:r>
            </w:hyperlink>
            <w:r w:rsidRPr="00644BDE">
              <w:rPr>
                <w:rFonts w:eastAsia="Calibri"/>
                <w:szCs w:val="24"/>
                <w:u w:val="none"/>
              </w:rPr>
              <w:t xml:space="preserve"> sadaļā “Saistošie noteikumi - projekti”. </w:t>
            </w:r>
          </w:p>
          <w:p w14:paraId="411472EB" w14:textId="77777777" w:rsidR="00644BDE" w:rsidRPr="00644BDE" w:rsidRDefault="00644BDE" w:rsidP="00644BDE">
            <w:pPr>
              <w:spacing w:after="160" w:line="259" w:lineRule="auto"/>
              <w:ind w:firstLine="394"/>
              <w:rPr>
                <w:rFonts w:eastAsia="Calibri"/>
                <w:szCs w:val="24"/>
                <w:u w:val="none"/>
              </w:rPr>
            </w:pPr>
            <w:r w:rsidRPr="00644BDE">
              <w:rPr>
                <w:rFonts w:eastAsia="Calibri"/>
                <w:szCs w:val="24"/>
                <w:u w:val="none"/>
              </w:rPr>
              <w:t>Ierosinājumi, priekšlikumi no privātpersonām vai institūcijām nav saņemti.</w:t>
            </w:r>
          </w:p>
        </w:tc>
      </w:tr>
    </w:tbl>
    <w:p w14:paraId="2EF55341" w14:textId="77777777" w:rsidR="00644BDE" w:rsidRPr="00644BDE" w:rsidRDefault="00644BDE" w:rsidP="00644BDE">
      <w:pPr>
        <w:spacing w:after="160" w:line="259" w:lineRule="auto"/>
        <w:rPr>
          <w:rFonts w:ascii="Calibri" w:eastAsia="Calibri" w:hAnsi="Calibri"/>
          <w:sz w:val="22"/>
          <w:u w:val="none"/>
        </w:rPr>
      </w:pPr>
    </w:p>
    <w:p w14:paraId="3EBDF9E6" w14:textId="77777777" w:rsidR="00FE3D95" w:rsidRPr="007C75A1" w:rsidRDefault="00FE3D95" w:rsidP="000C7638">
      <w:pPr>
        <w:rPr>
          <w:szCs w:val="24"/>
          <w:u w:val="none"/>
        </w:rPr>
      </w:pPr>
    </w:p>
    <w:p w14:paraId="1928BB62" w14:textId="77777777" w:rsidR="00FE3D95" w:rsidRDefault="00FE3D95" w:rsidP="000C7638">
      <w:pPr>
        <w:rPr>
          <w:b/>
          <w:szCs w:val="24"/>
          <w:u w:val="none"/>
        </w:rPr>
      </w:pPr>
    </w:p>
    <w:p w14:paraId="4AA95560" w14:textId="77777777" w:rsidR="00203C2F" w:rsidRPr="00440890" w:rsidRDefault="00020F59"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09:07</w:t>
      </w:r>
    </w:p>
    <w:p w14:paraId="5D3D153F" w14:textId="77777777" w:rsidR="00203C2F" w:rsidRPr="00440890" w:rsidRDefault="00203C2F" w:rsidP="00203C2F">
      <w:pPr>
        <w:rPr>
          <w:szCs w:val="24"/>
          <w:u w:val="none"/>
        </w:rPr>
      </w:pPr>
    </w:p>
    <w:p w14:paraId="0B64F5C5" w14:textId="6CC96826" w:rsidR="00203C2F" w:rsidRDefault="00020F59"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644BDE">
        <w:rPr>
          <w:szCs w:val="24"/>
          <w:u w:val="none"/>
        </w:rPr>
        <w:tab/>
      </w:r>
      <w:r w:rsidR="00644BDE">
        <w:rPr>
          <w:szCs w:val="24"/>
          <w:u w:val="none"/>
        </w:rPr>
        <w:tab/>
      </w:r>
      <w:r w:rsidR="00644BDE">
        <w:rPr>
          <w:szCs w:val="24"/>
          <w:u w:val="none"/>
        </w:rPr>
        <w:tab/>
      </w:r>
      <w:r w:rsidR="00DE2978">
        <w:rPr>
          <w:noProof/>
          <w:szCs w:val="24"/>
          <w:u w:val="none"/>
        </w:rPr>
        <w:t>Anatolijs Savickis</w:t>
      </w:r>
    </w:p>
    <w:p w14:paraId="3B353EEA" w14:textId="77777777" w:rsidR="002B673D" w:rsidRDefault="002B673D" w:rsidP="008778B8">
      <w:pPr>
        <w:rPr>
          <w:szCs w:val="24"/>
          <w:u w:val="none"/>
        </w:rPr>
      </w:pPr>
    </w:p>
    <w:p w14:paraId="04BB6144" w14:textId="77777777" w:rsidR="002B673D" w:rsidRPr="00440890" w:rsidRDefault="00020F59" w:rsidP="00644BDE">
      <w:pPr>
        <w:ind w:left="2880" w:firstLine="720"/>
        <w:rPr>
          <w:szCs w:val="24"/>
          <w:u w:val="none"/>
        </w:rPr>
      </w:pPr>
      <w:r>
        <w:rPr>
          <w:szCs w:val="24"/>
          <w:u w:val="none"/>
        </w:rPr>
        <w:t xml:space="preserve">Protokols parakstīts </w:t>
      </w:r>
      <w:r w:rsidR="00A534D7">
        <w:rPr>
          <w:rFonts w:eastAsia="Calibri"/>
          <w:szCs w:val="24"/>
          <w:u w:val="none"/>
        </w:rPr>
        <w:t>2025</w:t>
      </w:r>
      <w:r w:rsidRPr="002B673D">
        <w:rPr>
          <w:rFonts w:eastAsia="Calibri"/>
          <w:szCs w:val="24"/>
          <w:u w:val="none"/>
        </w:rPr>
        <w:t>.gada __.______________</w:t>
      </w:r>
    </w:p>
    <w:p w14:paraId="238F2168" w14:textId="77777777" w:rsidR="00203C2F" w:rsidRPr="00440890" w:rsidRDefault="00203C2F" w:rsidP="00203C2F">
      <w:pPr>
        <w:rPr>
          <w:szCs w:val="24"/>
          <w:u w:val="none"/>
        </w:rPr>
      </w:pPr>
    </w:p>
    <w:p w14:paraId="450152FF" w14:textId="05AD7524" w:rsidR="00203C2F" w:rsidRPr="00440890" w:rsidRDefault="00020F59"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644BDE">
        <w:rPr>
          <w:szCs w:val="24"/>
          <w:u w:val="none"/>
        </w:rPr>
        <w:tab/>
      </w:r>
      <w:r w:rsidR="00644BDE">
        <w:rPr>
          <w:szCs w:val="24"/>
          <w:u w:val="none"/>
        </w:rPr>
        <w:tab/>
      </w:r>
      <w:r w:rsidR="00644BDE">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175B54">
      <w:footerReference w:type="default" r:id="rId15"/>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4D05" w14:textId="77777777" w:rsidR="003A57C8" w:rsidRDefault="003A57C8" w:rsidP="00175B54">
      <w:r>
        <w:separator/>
      </w:r>
    </w:p>
  </w:endnote>
  <w:endnote w:type="continuationSeparator" w:id="0">
    <w:p w14:paraId="0FA3FD36" w14:textId="77777777" w:rsidR="003A57C8" w:rsidRDefault="003A57C8" w:rsidP="0017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818376"/>
      <w:docPartObj>
        <w:docPartGallery w:val="Page Numbers (Bottom of Page)"/>
        <w:docPartUnique/>
      </w:docPartObj>
    </w:sdtPr>
    <w:sdtEndPr>
      <w:rPr>
        <w:sz w:val="20"/>
        <w:szCs w:val="20"/>
        <w:u w:val="none"/>
      </w:rPr>
    </w:sdtEndPr>
    <w:sdtContent>
      <w:p w14:paraId="748778BA" w14:textId="24528273" w:rsidR="00175B54" w:rsidRPr="00175B54" w:rsidRDefault="00175B54">
        <w:pPr>
          <w:pStyle w:val="Kjene"/>
          <w:jc w:val="center"/>
          <w:rPr>
            <w:sz w:val="20"/>
            <w:szCs w:val="20"/>
            <w:u w:val="none"/>
          </w:rPr>
        </w:pPr>
        <w:r w:rsidRPr="00175B54">
          <w:rPr>
            <w:sz w:val="20"/>
            <w:szCs w:val="20"/>
            <w:u w:val="none"/>
          </w:rPr>
          <w:fldChar w:fldCharType="begin"/>
        </w:r>
        <w:r w:rsidRPr="00175B54">
          <w:rPr>
            <w:sz w:val="20"/>
            <w:szCs w:val="20"/>
            <w:u w:val="none"/>
          </w:rPr>
          <w:instrText>PAGE   \* MERGEFORMAT</w:instrText>
        </w:r>
        <w:r w:rsidRPr="00175B54">
          <w:rPr>
            <w:sz w:val="20"/>
            <w:szCs w:val="20"/>
            <w:u w:val="none"/>
          </w:rPr>
          <w:fldChar w:fldCharType="separate"/>
        </w:r>
        <w:r w:rsidRPr="00175B54">
          <w:rPr>
            <w:sz w:val="20"/>
            <w:szCs w:val="20"/>
            <w:u w:val="none"/>
          </w:rPr>
          <w:t>2</w:t>
        </w:r>
        <w:r w:rsidRPr="00175B54">
          <w:rPr>
            <w:sz w:val="20"/>
            <w:szCs w:val="20"/>
            <w:u w:val="none"/>
          </w:rPr>
          <w:fldChar w:fldCharType="end"/>
        </w:r>
      </w:p>
    </w:sdtContent>
  </w:sdt>
  <w:p w14:paraId="388901A8" w14:textId="77777777" w:rsidR="00175B54" w:rsidRDefault="00175B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B126" w14:textId="77777777" w:rsidR="003A57C8" w:rsidRDefault="003A57C8" w:rsidP="00175B54">
      <w:r>
        <w:separator/>
      </w:r>
    </w:p>
  </w:footnote>
  <w:footnote w:type="continuationSeparator" w:id="0">
    <w:p w14:paraId="05773A90" w14:textId="77777777" w:rsidR="003A57C8" w:rsidRDefault="003A57C8" w:rsidP="00175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3622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20F59"/>
    <w:rsid w:val="0003247C"/>
    <w:rsid w:val="0005652D"/>
    <w:rsid w:val="0006595B"/>
    <w:rsid w:val="000721E9"/>
    <w:rsid w:val="000A638D"/>
    <w:rsid w:val="000C7638"/>
    <w:rsid w:val="000F2525"/>
    <w:rsid w:val="00111E47"/>
    <w:rsid w:val="00112425"/>
    <w:rsid w:val="00114990"/>
    <w:rsid w:val="00115185"/>
    <w:rsid w:val="00115B47"/>
    <w:rsid w:val="00125868"/>
    <w:rsid w:val="00143454"/>
    <w:rsid w:val="00154B39"/>
    <w:rsid w:val="00156F62"/>
    <w:rsid w:val="0016506D"/>
    <w:rsid w:val="00175B54"/>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60A3B"/>
    <w:rsid w:val="00366EF4"/>
    <w:rsid w:val="00375A48"/>
    <w:rsid w:val="003A5772"/>
    <w:rsid w:val="003A57C8"/>
    <w:rsid w:val="003B3B5E"/>
    <w:rsid w:val="003C6714"/>
    <w:rsid w:val="004004BE"/>
    <w:rsid w:val="00440890"/>
    <w:rsid w:val="00475ADB"/>
    <w:rsid w:val="00480C1E"/>
    <w:rsid w:val="00485BE4"/>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4BDE"/>
    <w:rsid w:val="0064526C"/>
    <w:rsid w:val="00650AFF"/>
    <w:rsid w:val="00653AE0"/>
    <w:rsid w:val="0066479D"/>
    <w:rsid w:val="00684EB7"/>
    <w:rsid w:val="006A49D2"/>
    <w:rsid w:val="006F66E9"/>
    <w:rsid w:val="007366C7"/>
    <w:rsid w:val="00771355"/>
    <w:rsid w:val="00772103"/>
    <w:rsid w:val="00777F2C"/>
    <w:rsid w:val="00797198"/>
    <w:rsid w:val="007C75A1"/>
    <w:rsid w:val="0081079F"/>
    <w:rsid w:val="008225DD"/>
    <w:rsid w:val="008778B8"/>
    <w:rsid w:val="00881464"/>
    <w:rsid w:val="008936D0"/>
    <w:rsid w:val="008B0EE4"/>
    <w:rsid w:val="008C6323"/>
    <w:rsid w:val="009306EC"/>
    <w:rsid w:val="0093403E"/>
    <w:rsid w:val="00956EC8"/>
    <w:rsid w:val="0096468A"/>
    <w:rsid w:val="009818C4"/>
    <w:rsid w:val="00984D3F"/>
    <w:rsid w:val="009A36C5"/>
    <w:rsid w:val="009D2422"/>
    <w:rsid w:val="009F3D14"/>
    <w:rsid w:val="00A534D7"/>
    <w:rsid w:val="00A7555E"/>
    <w:rsid w:val="00AE5FCA"/>
    <w:rsid w:val="00AF498F"/>
    <w:rsid w:val="00B03844"/>
    <w:rsid w:val="00B05482"/>
    <w:rsid w:val="00B21256"/>
    <w:rsid w:val="00B24B3A"/>
    <w:rsid w:val="00B309A6"/>
    <w:rsid w:val="00B317FE"/>
    <w:rsid w:val="00B348E6"/>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404AD"/>
    <w:rsid w:val="00F60075"/>
    <w:rsid w:val="00F613A1"/>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6E633"/>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175B54"/>
    <w:rPr>
      <w:color w:val="605E5C"/>
      <w:shd w:val="clear" w:color="auto" w:fill="E1DFDD"/>
    </w:rPr>
  </w:style>
  <w:style w:type="paragraph" w:styleId="Galvene">
    <w:name w:val="header"/>
    <w:basedOn w:val="Parasts"/>
    <w:link w:val="GalveneRakstz"/>
    <w:uiPriority w:val="99"/>
    <w:unhideWhenUsed/>
    <w:rsid w:val="00175B54"/>
    <w:pPr>
      <w:tabs>
        <w:tab w:val="center" w:pos="4153"/>
        <w:tab w:val="right" w:pos="8306"/>
      </w:tabs>
    </w:pPr>
  </w:style>
  <w:style w:type="character" w:customStyle="1" w:styleId="GalveneRakstz">
    <w:name w:val="Galvene Rakstz."/>
    <w:basedOn w:val="Noklusjumarindkopasfonts"/>
    <w:link w:val="Galvene"/>
    <w:uiPriority w:val="99"/>
    <w:rsid w:val="00175B54"/>
    <w:rPr>
      <w:szCs w:val="22"/>
    </w:rPr>
  </w:style>
  <w:style w:type="paragraph" w:styleId="Kjene">
    <w:name w:val="footer"/>
    <w:basedOn w:val="Parasts"/>
    <w:link w:val="KjeneRakstz"/>
    <w:uiPriority w:val="99"/>
    <w:unhideWhenUsed/>
    <w:rsid w:val="00175B54"/>
    <w:pPr>
      <w:tabs>
        <w:tab w:val="center" w:pos="4153"/>
        <w:tab w:val="right" w:pos="8306"/>
      </w:tabs>
    </w:pPr>
  </w:style>
  <w:style w:type="character" w:customStyle="1" w:styleId="KjeneRakstz">
    <w:name w:val="Kājene Rakstz."/>
    <w:basedOn w:val="Noklusjumarindkopasfonts"/>
    <w:link w:val="Kjene"/>
    <w:uiPriority w:val="99"/>
    <w:rsid w:val="00175B5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lbene.l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RTppkpugh0K-z4Kc65iVqSAXmaV_rNL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www.gulbene.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9B5A3-9ED9-40CE-8438-AF51C7DB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11262</Words>
  <Characters>6420</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3</cp:revision>
  <cp:lastPrinted>2025-02-21T13:10:00Z</cp:lastPrinted>
  <dcterms:created xsi:type="dcterms:W3CDTF">2025-02-21T12:57:00Z</dcterms:created>
  <dcterms:modified xsi:type="dcterms:W3CDTF">2025-02-21T13:11:00Z</dcterms:modified>
</cp:coreProperties>
</file>