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9A39" w14:textId="77777777" w:rsidR="007A0399" w:rsidRDefault="00000000" w:rsidP="002605DA">
      <w:pPr>
        <w:pStyle w:val="LO-normal"/>
        <w:tabs>
          <w:tab w:val="left" w:pos="2160"/>
        </w:tabs>
        <w:spacing w:line="276" w:lineRule="auto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TEHNISKĀ SPECIFIKĀCIJA</w:t>
      </w:r>
    </w:p>
    <w:p w14:paraId="72F66B24" w14:textId="1732A919" w:rsidR="002D5B02" w:rsidRDefault="002D5B02" w:rsidP="002605DA">
      <w:pPr>
        <w:pStyle w:val="LO-normal"/>
        <w:tabs>
          <w:tab w:val="left" w:pos="2160"/>
        </w:tabs>
        <w:spacing w:line="276" w:lineRule="auto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t xml:space="preserve">Tirgus izpēte Nr.: </w:t>
      </w:r>
      <w:r w:rsidR="005C005C" w:rsidRPr="005C005C">
        <w:rPr>
          <w:color w:val="222222"/>
        </w:rPr>
        <w:t>GNP/2025/TI/27</w:t>
      </w:r>
    </w:p>
    <w:p w14:paraId="36A11EE3" w14:textId="4C6C1093" w:rsidR="004E4016" w:rsidRDefault="001542AB">
      <w:pPr>
        <w:pStyle w:val="LO-normal"/>
        <w:tabs>
          <w:tab w:val="left" w:pos="2160"/>
        </w:tabs>
        <w:spacing w:line="276" w:lineRule="auto"/>
        <w:ind w:left="284"/>
        <w:jc w:val="center"/>
        <w:rPr>
          <w:rFonts w:eastAsia="Times New Roman" w:cs="Times New Roman"/>
          <w:b/>
          <w:bCs/>
          <w:color w:val="222222"/>
        </w:rPr>
      </w:pPr>
      <w:r w:rsidRPr="001542AB">
        <w:rPr>
          <w:rFonts w:eastAsia="Times New Roman" w:cs="Times New Roman"/>
          <w:b/>
          <w:bCs/>
          <w:color w:val="222222"/>
        </w:rPr>
        <w:t xml:space="preserve">“Zaļā dzelzceļa celiņa” </w:t>
      </w:r>
      <w:r w:rsidR="004E4016" w:rsidRPr="004E4016">
        <w:rPr>
          <w:rFonts w:eastAsia="Times New Roman" w:cs="Times New Roman"/>
          <w:b/>
          <w:bCs/>
          <w:color w:val="222222"/>
        </w:rPr>
        <w:t>velo</w:t>
      </w:r>
      <w:r w:rsidR="00B7153B">
        <w:rPr>
          <w:rFonts w:eastAsia="Times New Roman" w:cs="Times New Roman"/>
          <w:b/>
          <w:bCs/>
          <w:color w:val="222222"/>
        </w:rPr>
        <w:t xml:space="preserve">braucēju, </w:t>
      </w:r>
      <w:r w:rsidR="004E4016" w:rsidRPr="004E4016">
        <w:rPr>
          <w:rFonts w:eastAsia="Times New Roman" w:cs="Times New Roman"/>
          <w:b/>
          <w:bCs/>
          <w:color w:val="222222"/>
        </w:rPr>
        <w:t>kājāmgājēju</w:t>
      </w:r>
      <w:r w:rsidR="00B7153B">
        <w:rPr>
          <w:rFonts w:eastAsia="Times New Roman" w:cs="Times New Roman"/>
          <w:b/>
          <w:bCs/>
          <w:color w:val="222222"/>
        </w:rPr>
        <w:t xml:space="preserve"> un skrejriteņu</w:t>
      </w:r>
      <w:r w:rsidR="004E4016" w:rsidRPr="004E4016">
        <w:rPr>
          <w:rFonts w:eastAsia="Times New Roman" w:cs="Times New Roman"/>
          <w:b/>
          <w:bCs/>
          <w:color w:val="222222"/>
        </w:rPr>
        <w:t xml:space="preserve"> skaitītāj</w:t>
      </w:r>
      <w:r w:rsidR="004E4016">
        <w:rPr>
          <w:rFonts w:eastAsia="Times New Roman" w:cs="Times New Roman"/>
          <w:b/>
          <w:bCs/>
          <w:color w:val="222222"/>
        </w:rPr>
        <w:t>a un displeja</w:t>
      </w:r>
      <w:r w:rsidRPr="001542AB">
        <w:rPr>
          <w:rFonts w:eastAsia="Times New Roman" w:cs="Times New Roman"/>
          <w:b/>
          <w:bCs/>
          <w:color w:val="222222"/>
        </w:rPr>
        <w:t xml:space="preserve"> izgatavošana un uzstādīšana</w:t>
      </w:r>
    </w:p>
    <w:p w14:paraId="2EC34670" w14:textId="00A43565" w:rsidR="007A0399" w:rsidRDefault="001542AB">
      <w:pPr>
        <w:pStyle w:val="LO-normal"/>
        <w:tabs>
          <w:tab w:val="left" w:pos="2160"/>
        </w:tabs>
        <w:spacing w:line="276" w:lineRule="auto"/>
        <w:ind w:left="284"/>
        <w:jc w:val="center"/>
        <w:rPr>
          <w:b/>
          <w:bCs/>
        </w:rPr>
      </w:pPr>
      <w:r w:rsidRPr="001542AB">
        <w:rPr>
          <w:rFonts w:eastAsia="Times New Roman" w:cs="Times New Roman"/>
          <w:b/>
          <w:bCs/>
          <w:color w:val="222222"/>
        </w:rPr>
        <w:t>projektā “Green Railway II” (“Zaļie dzelzceļi II”) EE-LV00057</w:t>
      </w:r>
      <w:r w:rsidR="008D0E88">
        <w:rPr>
          <w:rFonts w:eastAsia="Times New Roman" w:cs="Times New Roman"/>
          <w:b/>
          <w:bCs/>
          <w:color w:val="222222"/>
        </w:rPr>
        <w:t xml:space="preserve"> </w:t>
      </w:r>
    </w:p>
    <w:p w14:paraId="14720657" w14:textId="77777777" w:rsidR="007A0399" w:rsidRDefault="00000000">
      <w:pPr>
        <w:pStyle w:val="LO-normal"/>
        <w:spacing w:line="276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Projektu līdzfinansē Eiropas savienība</w:t>
      </w:r>
    </w:p>
    <w:p w14:paraId="7569EE4D" w14:textId="77777777" w:rsidR="007A0399" w:rsidRDefault="007A0399">
      <w:pPr>
        <w:pStyle w:val="LO-normal"/>
        <w:jc w:val="both"/>
        <w:rPr>
          <w:rFonts w:eastAsia="Times New Roman" w:cs="Times New Roman"/>
          <w:color w:val="000000"/>
        </w:rPr>
      </w:pPr>
    </w:p>
    <w:p w14:paraId="7BE7F0BD" w14:textId="77777777" w:rsidR="007A0399" w:rsidRDefault="007A0399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984"/>
        <w:gridCol w:w="6161"/>
        <w:gridCol w:w="1843"/>
      </w:tblGrid>
      <w:tr w:rsidR="00AC6F89" w:rsidRPr="00364C91" w14:paraId="5C6158B6" w14:textId="77777777" w:rsidTr="000F0FE6">
        <w:trPr>
          <w:trHeight w:val="609"/>
        </w:trPr>
        <w:tc>
          <w:tcPr>
            <w:tcW w:w="644" w:type="dxa"/>
            <w:vAlign w:val="center"/>
          </w:tcPr>
          <w:p w14:paraId="5D7E10D5" w14:textId="77777777" w:rsidR="00AC6F89" w:rsidRDefault="00AC6F89" w:rsidP="001A7E85">
            <w:pPr>
              <w:pStyle w:val="Parasts1"/>
              <w:suppressAutoHyphens w:val="0"/>
              <w:jc w:val="center"/>
              <w:rPr>
                <w:rFonts w:cs="Times New Roman"/>
                <w:bCs w:val="0"/>
                <w:kern w:val="0"/>
                <w:szCs w:val="24"/>
                <w:lang w:val="lv-LV" w:eastAsia="en-US"/>
              </w:rPr>
            </w:pPr>
            <w:r w:rsidRPr="00A65CDD">
              <w:rPr>
                <w:rFonts w:cs="Times New Roman"/>
                <w:bCs w:val="0"/>
                <w:kern w:val="0"/>
                <w:szCs w:val="24"/>
                <w:lang w:val="lv-LV" w:eastAsia="en-US"/>
              </w:rPr>
              <w:t>N.p.</w:t>
            </w:r>
          </w:p>
          <w:p w14:paraId="4858B55D" w14:textId="77777777" w:rsidR="00AC6F89" w:rsidRPr="00A65CDD" w:rsidRDefault="00AC6F89" w:rsidP="001A7E85">
            <w:pPr>
              <w:pStyle w:val="Parasts1"/>
              <w:suppressAutoHyphens w:val="0"/>
              <w:jc w:val="center"/>
              <w:rPr>
                <w:rFonts w:cs="Times New Roman"/>
                <w:bCs w:val="0"/>
                <w:kern w:val="0"/>
                <w:szCs w:val="24"/>
                <w:lang w:val="lv-LV" w:eastAsia="en-US"/>
              </w:rPr>
            </w:pPr>
            <w:r w:rsidRPr="00A65CDD">
              <w:rPr>
                <w:rFonts w:cs="Times New Roman"/>
                <w:bCs w:val="0"/>
                <w:kern w:val="0"/>
                <w:szCs w:val="24"/>
                <w:lang w:val="lv-LV" w:eastAsia="en-US"/>
              </w:rPr>
              <w:t>k.</w:t>
            </w:r>
          </w:p>
        </w:tc>
        <w:tc>
          <w:tcPr>
            <w:tcW w:w="1984" w:type="dxa"/>
            <w:vAlign w:val="center"/>
          </w:tcPr>
          <w:p w14:paraId="0E327F8A" w14:textId="77777777" w:rsidR="00AC6F89" w:rsidRPr="00A65CDD" w:rsidRDefault="00AC6F89" w:rsidP="001A7E85">
            <w:pPr>
              <w:pStyle w:val="Parasts1"/>
              <w:suppressAutoHyphens w:val="0"/>
              <w:jc w:val="center"/>
              <w:rPr>
                <w:rFonts w:cs="Times New Roman"/>
                <w:bCs w:val="0"/>
                <w:kern w:val="0"/>
                <w:szCs w:val="24"/>
                <w:lang w:val="lv-LV" w:eastAsia="en-US"/>
              </w:rPr>
            </w:pPr>
            <w:r w:rsidRPr="00A65CDD">
              <w:rPr>
                <w:rFonts w:cs="Times New Roman"/>
                <w:bCs w:val="0"/>
                <w:kern w:val="0"/>
                <w:szCs w:val="24"/>
                <w:lang w:val="lv-LV" w:eastAsia="en-US"/>
              </w:rPr>
              <w:t>Preces nosaukums</w:t>
            </w:r>
          </w:p>
        </w:tc>
        <w:tc>
          <w:tcPr>
            <w:tcW w:w="6161" w:type="dxa"/>
            <w:vAlign w:val="center"/>
          </w:tcPr>
          <w:p w14:paraId="425380F0" w14:textId="77777777" w:rsidR="00AC6F89" w:rsidRPr="00A65CDD" w:rsidRDefault="00AC6F89" w:rsidP="001A7E85">
            <w:pPr>
              <w:pStyle w:val="Parasts1"/>
              <w:suppressAutoHyphens w:val="0"/>
              <w:jc w:val="center"/>
              <w:rPr>
                <w:rFonts w:cs="Times New Roman"/>
                <w:bCs w:val="0"/>
                <w:kern w:val="0"/>
                <w:szCs w:val="24"/>
                <w:lang w:val="lv-LV" w:eastAsia="en-US"/>
              </w:rPr>
            </w:pPr>
            <w:r w:rsidRPr="00A65CDD">
              <w:rPr>
                <w:rFonts w:cs="Times New Roman"/>
                <w:bCs w:val="0"/>
                <w:kern w:val="0"/>
                <w:szCs w:val="24"/>
                <w:lang w:val="lv-LV" w:eastAsia="en-US"/>
              </w:rPr>
              <w:t>Tehniskā specifikācija</w:t>
            </w:r>
          </w:p>
        </w:tc>
        <w:tc>
          <w:tcPr>
            <w:tcW w:w="1843" w:type="dxa"/>
            <w:vAlign w:val="center"/>
          </w:tcPr>
          <w:p w14:paraId="18864CAF" w14:textId="77777777" w:rsidR="00AC6F89" w:rsidRPr="00A65CDD" w:rsidRDefault="00AC6F89" w:rsidP="001A7E85">
            <w:pPr>
              <w:pStyle w:val="Parasts1"/>
              <w:suppressAutoHyphens w:val="0"/>
              <w:jc w:val="center"/>
              <w:rPr>
                <w:rFonts w:cs="Times New Roman"/>
                <w:bCs w:val="0"/>
                <w:kern w:val="0"/>
                <w:szCs w:val="24"/>
                <w:lang w:val="lv-LV" w:eastAsia="en-US"/>
              </w:rPr>
            </w:pPr>
            <w:r>
              <w:rPr>
                <w:rFonts w:cs="Times New Roman"/>
                <w:bCs w:val="0"/>
                <w:kern w:val="0"/>
                <w:szCs w:val="24"/>
                <w:lang w:val="lv-LV" w:eastAsia="en-US"/>
              </w:rPr>
              <w:t xml:space="preserve">Skaits </w:t>
            </w:r>
          </w:p>
        </w:tc>
      </w:tr>
      <w:tr w:rsidR="00AC6F89" w:rsidRPr="00364C91" w14:paraId="4F3FDFA5" w14:textId="77777777" w:rsidTr="000F0FE6">
        <w:trPr>
          <w:cantSplit/>
          <w:trHeight w:val="3972"/>
        </w:trPr>
        <w:tc>
          <w:tcPr>
            <w:tcW w:w="644" w:type="dxa"/>
          </w:tcPr>
          <w:p w14:paraId="1D951D0E" w14:textId="77777777" w:rsidR="00AC6F89" w:rsidRPr="00364C91" w:rsidRDefault="00AC6F89" w:rsidP="00AC6F89">
            <w:pPr>
              <w:pStyle w:val="Parasts1"/>
              <w:numPr>
                <w:ilvl w:val="0"/>
                <w:numId w:val="8"/>
              </w:numPr>
              <w:suppressAutoHyphens w:val="0"/>
              <w:jc w:val="center"/>
              <w:rPr>
                <w:rFonts w:cs="Times New Roman"/>
                <w:b w:val="0"/>
                <w:bCs w:val="0"/>
                <w:kern w:val="0"/>
                <w:szCs w:val="24"/>
                <w:lang w:val="lv-LV" w:eastAsia="en-US"/>
              </w:rPr>
            </w:pPr>
          </w:p>
        </w:tc>
        <w:tc>
          <w:tcPr>
            <w:tcW w:w="1984" w:type="dxa"/>
          </w:tcPr>
          <w:p w14:paraId="7C885AE1" w14:textId="12A233C9" w:rsidR="00AC6F89" w:rsidRPr="00F3500E" w:rsidRDefault="00B7153B" w:rsidP="001A7E85">
            <w:pPr>
              <w:rPr>
                <w:b/>
              </w:rPr>
            </w:pPr>
            <w:r>
              <w:rPr>
                <w:rFonts w:eastAsia="Times New Roman" w:cs="Times New Roman"/>
                <w:b/>
                <w:bCs/>
                <w:color w:val="222222"/>
              </w:rPr>
              <w:t>V</w:t>
            </w:r>
            <w:r w:rsidRPr="004E4016">
              <w:rPr>
                <w:rFonts w:eastAsia="Times New Roman" w:cs="Times New Roman"/>
                <w:b/>
                <w:bCs/>
                <w:color w:val="222222"/>
              </w:rPr>
              <w:t>elo</w:t>
            </w:r>
            <w:r>
              <w:rPr>
                <w:rFonts w:eastAsia="Times New Roman" w:cs="Times New Roman"/>
                <w:b/>
                <w:bCs/>
                <w:color w:val="222222"/>
              </w:rPr>
              <w:t xml:space="preserve">braucēju, </w:t>
            </w:r>
            <w:r w:rsidRPr="004E4016">
              <w:rPr>
                <w:rFonts w:eastAsia="Times New Roman" w:cs="Times New Roman"/>
                <w:b/>
                <w:bCs/>
                <w:color w:val="222222"/>
              </w:rPr>
              <w:t>kājāmgājēju</w:t>
            </w:r>
            <w:r>
              <w:rPr>
                <w:rFonts w:eastAsia="Times New Roman" w:cs="Times New Roman"/>
                <w:b/>
                <w:bCs/>
                <w:color w:val="222222"/>
              </w:rPr>
              <w:t xml:space="preserve"> un skrejriteņu</w:t>
            </w:r>
            <w:r w:rsidR="00AC6F89" w:rsidRPr="004E4016">
              <w:rPr>
                <w:rFonts w:eastAsia="Times New Roman" w:cs="Times New Roman"/>
                <w:b/>
                <w:bCs/>
                <w:color w:val="222222"/>
              </w:rPr>
              <w:t xml:space="preserve"> skaitītāj</w:t>
            </w:r>
            <w:r w:rsidR="00AC6F89">
              <w:rPr>
                <w:rFonts w:eastAsia="Times New Roman" w:cs="Times New Roman"/>
                <w:b/>
                <w:bCs/>
                <w:color w:val="222222"/>
              </w:rPr>
              <w:t>s un displeja</w:t>
            </w:r>
          </w:p>
          <w:p w14:paraId="16135DCE" w14:textId="77777777" w:rsidR="00AC6F89" w:rsidRDefault="00AC6F89" w:rsidP="001A7E85">
            <w:pPr>
              <w:pStyle w:val="Parasts1"/>
              <w:suppressAutoHyphens w:val="0"/>
              <w:rPr>
                <w:rFonts w:cs="Times New Roman"/>
                <w:b w:val="0"/>
                <w:bCs w:val="0"/>
                <w:kern w:val="0"/>
                <w:szCs w:val="24"/>
                <w:lang w:val="lv-LV" w:eastAsia="en-US"/>
              </w:rPr>
            </w:pPr>
            <w:r>
              <w:rPr>
                <w:rFonts w:cs="Times New Roman"/>
                <w:b w:val="0"/>
                <w:bCs w:val="0"/>
                <w:kern w:val="0"/>
                <w:szCs w:val="24"/>
                <w:lang w:val="lv-LV" w:eastAsia="en-US"/>
              </w:rPr>
              <w:t>aprīkots ar datu uzskaites, nolasīšanas sistēmām, tablo</w:t>
            </w:r>
          </w:p>
          <w:p w14:paraId="00026941" w14:textId="77777777" w:rsidR="00AC6F89" w:rsidRDefault="00AC6F89" w:rsidP="001A7E85">
            <w:pPr>
              <w:pStyle w:val="Parasts1"/>
              <w:suppressAutoHyphens w:val="0"/>
              <w:rPr>
                <w:rFonts w:cs="Times New Roman"/>
                <w:b w:val="0"/>
                <w:bCs w:val="0"/>
                <w:kern w:val="0"/>
                <w:szCs w:val="24"/>
                <w:lang w:val="lv-LV" w:eastAsia="en-US"/>
              </w:rPr>
            </w:pPr>
          </w:p>
          <w:p w14:paraId="778C85AD" w14:textId="77777777" w:rsidR="00AC6F89" w:rsidRPr="00D166B6" w:rsidRDefault="00AC6F89" w:rsidP="001A7E85">
            <w:pPr>
              <w:pStyle w:val="Parasts1"/>
              <w:suppressAutoHyphens w:val="0"/>
              <w:rPr>
                <w:rFonts w:cs="Times New Roman"/>
                <w:b w:val="0"/>
                <w:bCs w:val="0"/>
                <w:kern w:val="0"/>
                <w:szCs w:val="24"/>
                <w:lang w:val="lv-LV" w:eastAsia="en-US"/>
              </w:rPr>
            </w:pPr>
          </w:p>
        </w:tc>
        <w:tc>
          <w:tcPr>
            <w:tcW w:w="6161" w:type="dxa"/>
          </w:tcPr>
          <w:p w14:paraId="64F13E59" w14:textId="0DA03BD1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Velo/kājāmgājēju skaitītājs iestrādāts asfalta segumā.</w:t>
            </w:r>
          </w:p>
          <w:p w14:paraId="79EE4DB7" w14:textId="77777777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Uzskaites diapazons/uztveramība – 2.5 metri</w:t>
            </w:r>
          </w:p>
          <w:p w14:paraId="46286070" w14:textId="103B3814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Uzstādīšana āra apstākļos ar elektrības pieslēgumu  (nodrošina Pasūtītājs).</w:t>
            </w:r>
          </w:p>
          <w:p w14:paraId="16088560" w14:textId="6E4CCAE8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Skaitītāja korpuss ar izturīgu, metāla materiāla stabu ar reaģējošu sensoru.</w:t>
            </w:r>
          </w:p>
          <w:p w14:paraId="5FF181CC" w14:textId="0DFF8ABD" w:rsidR="00AC6F89" w:rsidRDefault="00B41E4A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D</w:t>
            </w:r>
            <w:r w:rsidR="00AC6F89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 xml:space="preserve">isplejs </w:t>
            </w: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velo/kājāmgājēju</w:t>
            </w:r>
            <w:r w:rsidR="00AC6F89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 xml:space="preserve"> plūsmas attēlošanai reāllaikā (uzstādīšana pēc </w:t>
            </w: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P</w:t>
            </w:r>
            <w:r w:rsidR="00AC6F89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asūtītāja norād</w:t>
            </w: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īju</w:t>
            </w:r>
            <w:r w:rsidR="00AC6F89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miem)</w:t>
            </w: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. Displeja grafiskajā vizualizācijā iekļauta Gulbenes novada simbolika (nepieciešamo informāciju nodrošina Pasūtītājs).</w:t>
            </w:r>
          </w:p>
          <w:p w14:paraId="4F0D6BB7" w14:textId="4EA8B7CE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 xml:space="preserve">Garantijas laiks ne mazāks kā </w:t>
            </w:r>
            <w:r w:rsidR="00B41E4A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2</w:t>
            </w: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 xml:space="preserve"> gadu pēc uzstādīšanas</w:t>
            </w:r>
            <w:r w:rsidR="00B41E4A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.</w:t>
            </w:r>
          </w:p>
          <w:p w14:paraId="50EA27F1" w14:textId="3B2EAD46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 xml:space="preserve">Reāllaika datu pārraides nodrošināšana, ne mazāk kā </w:t>
            </w:r>
            <w:r w:rsidR="00567039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1</w:t>
            </w: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 xml:space="preserve"> gadu</w:t>
            </w:r>
            <w:r w:rsidR="00B41E4A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.</w:t>
            </w:r>
          </w:p>
          <w:p w14:paraId="420B27EF" w14:textId="0DA209C1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Iespēja analizēt un eksportēt iegūtos datus</w:t>
            </w:r>
            <w:r w:rsidR="00B41E4A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.</w:t>
            </w:r>
          </w:p>
          <w:p w14:paraId="5482567E" w14:textId="77777777" w:rsidR="00B41E4A" w:rsidRDefault="00B41E4A" w:rsidP="00B41E4A">
            <w:pPr>
              <w:spacing w:line="276" w:lineRule="auto"/>
              <w:jc w:val="both"/>
            </w:pPr>
            <w:r>
              <w:t>Ja līdz ar skaitītāja, displeja uzstādīšanu bojāts izbūvētais segums, tas jāatjauno sākotnējā stāvoklī.</w:t>
            </w:r>
          </w:p>
          <w:p w14:paraId="4A1E81CF" w14:textId="141D8A79" w:rsidR="00B41E4A" w:rsidRDefault="00B41E4A" w:rsidP="00B41E4A">
            <w:pPr>
              <w:spacing w:line="276" w:lineRule="auto"/>
              <w:jc w:val="both"/>
            </w:pPr>
            <w:r>
              <w:t>Darbs ietver v</w:t>
            </w:r>
            <w:r w:rsidRPr="00B41E4A">
              <w:t>elo/kājāmgājēju skaitītāj</w:t>
            </w:r>
            <w:r>
              <w:t>a</w:t>
            </w:r>
            <w:r w:rsidRPr="00B41E4A">
              <w:t xml:space="preserve"> un displeja</w:t>
            </w:r>
            <w:r>
              <w:t xml:space="preserve"> uzstādīšanu, iespējamos papildmateriālus, to piegādi un sagatavošanu, iekārtas, instrumentus, transportu, pārbaudes un neparedzētos darbus, kas nepieciešami pamatdarba izpildei.</w:t>
            </w:r>
          </w:p>
          <w:p w14:paraId="4107DE6E" w14:textId="3126EA95" w:rsidR="00AC6F89" w:rsidRPr="00B41E4A" w:rsidRDefault="00B41E4A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 w:rsidRPr="00B41E4A">
              <w:rPr>
                <w:lang w:val="lv-LV"/>
              </w:rPr>
              <w:t>Pirms velo/kājāmgājēju skaitītāja un displeja pasūtīšanas saskaņot elementu krāsu, izskatu, izmēru un novietojumu ar Pasūtītāju.</w:t>
            </w:r>
          </w:p>
        </w:tc>
        <w:tc>
          <w:tcPr>
            <w:tcW w:w="1843" w:type="dxa"/>
          </w:tcPr>
          <w:p w14:paraId="2FC2CF24" w14:textId="77777777" w:rsidR="00AC6F89" w:rsidRDefault="00AC6F8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1</w:t>
            </w:r>
            <w:r w:rsidR="00991E29"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 xml:space="preserve"> skaitītājs</w:t>
            </w:r>
          </w:p>
          <w:p w14:paraId="65ECFD4C" w14:textId="1EDC8C93" w:rsidR="00991E29" w:rsidRPr="00D166B6" w:rsidRDefault="00991E29" w:rsidP="001A7E85">
            <w:pPr>
              <w:pStyle w:val="Parasts1"/>
              <w:tabs>
                <w:tab w:val="left" w:pos="720"/>
              </w:tabs>
              <w:suppressAutoHyphens w:val="0"/>
              <w:snapToGrid w:val="0"/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</w:pPr>
            <w:r>
              <w:rPr>
                <w:rFonts w:cs="Times New Roman"/>
                <w:b w:val="0"/>
                <w:bCs w:val="0"/>
                <w:color w:val="000000"/>
                <w:szCs w:val="24"/>
                <w:shd w:val="clear" w:color="auto" w:fill="FFFFFF"/>
                <w:lang w:val="lv-LV"/>
              </w:rPr>
              <w:t>1 displejs</w:t>
            </w:r>
          </w:p>
        </w:tc>
      </w:tr>
    </w:tbl>
    <w:p w14:paraId="54A0F6C7" w14:textId="77777777" w:rsidR="004E4016" w:rsidRDefault="004E4016">
      <w:pPr>
        <w:spacing w:line="276" w:lineRule="auto"/>
        <w:jc w:val="center"/>
        <w:rPr>
          <w:b/>
          <w:sz w:val="22"/>
          <w:szCs w:val="22"/>
        </w:rPr>
      </w:pPr>
    </w:p>
    <w:p w14:paraId="0FEA4A37" w14:textId="77777777" w:rsidR="004E4016" w:rsidRDefault="004E4016" w:rsidP="004E4016">
      <w:pPr>
        <w:spacing w:line="276" w:lineRule="auto"/>
        <w:jc w:val="both"/>
      </w:pPr>
    </w:p>
    <w:p w14:paraId="3A94A6FF" w14:textId="77777777" w:rsidR="004E4016" w:rsidRDefault="004E4016" w:rsidP="004E4016">
      <w:pPr>
        <w:spacing w:line="276" w:lineRule="auto"/>
        <w:jc w:val="both"/>
      </w:pPr>
    </w:p>
    <w:p w14:paraId="6BBC36F6" w14:textId="22527760" w:rsidR="007A0399" w:rsidRDefault="00000000">
      <w:pPr>
        <w:pStyle w:val="LO-normal"/>
        <w:rPr>
          <w:rFonts w:eastAsia="Times New Roman" w:cs="Times New Roman"/>
        </w:rPr>
      </w:pPr>
      <w:r>
        <w:rPr>
          <w:rFonts w:eastAsia="Times New Roman" w:cs="Times New Roman"/>
          <w:b/>
          <w:color w:val="000000"/>
        </w:rPr>
        <w:t>Pasūtījuma izpildes termiņš</w:t>
      </w:r>
      <w:r w:rsidRPr="00711BD4">
        <w:rPr>
          <w:rFonts w:eastAsia="Times New Roman" w:cs="Times New Roman"/>
          <w:b/>
        </w:rPr>
        <w:t>:</w:t>
      </w:r>
      <w:r w:rsidRPr="00711BD4">
        <w:rPr>
          <w:rFonts w:eastAsia="Times New Roman" w:cs="Times New Roman"/>
        </w:rPr>
        <w:t xml:space="preserve"> </w:t>
      </w:r>
      <w:r w:rsidR="004B48E7">
        <w:rPr>
          <w:rFonts w:eastAsia="Times New Roman" w:cs="Times New Roman"/>
        </w:rPr>
        <w:t>2025.gada 2</w:t>
      </w:r>
      <w:r w:rsidR="00991E29">
        <w:rPr>
          <w:rFonts w:eastAsia="Times New Roman" w:cs="Times New Roman"/>
        </w:rPr>
        <w:t>1</w:t>
      </w:r>
      <w:r w:rsidR="004B48E7">
        <w:rPr>
          <w:rFonts w:eastAsia="Times New Roman" w:cs="Times New Roman"/>
        </w:rPr>
        <w:t>.maijs.</w:t>
      </w:r>
    </w:p>
    <w:p w14:paraId="35838AA1" w14:textId="77777777" w:rsidR="000F0FE6" w:rsidRDefault="000F0FE6">
      <w:pPr>
        <w:pStyle w:val="LO-normal"/>
        <w:rPr>
          <w:rFonts w:eastAsia="Times New Roman" w:cs="Times New Roman"/>
        </w:rPr>
      </w:pPr>
    </w:p>
    <w:p w14:paraId="0BA55600" w14:textId="60E1045B" w:rsidR="000F0FE6" w:rsidRDefault="000F0FE6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796100DF" w14:textId="77777777" w:rsidR="000F0FE6" w:rsidRPr="000F0FE6" w:rsidRDefault="000F0FE6" w:rsidP="000F0FE6">
      <w:pPr>
        <w:pStyle w:val="LO-normal"/>
        <w:spacing w:line="360" w:lineRule="auto"/>
        <w:jc w:val="center"/>
        <w:rPr>
          <w:rFonts w:eastAsia="Times New Roman" w:cs="Times New Roman"/>
          <w:color w:val="000000"/>
          <w:lang w:val="en-US"/>
        </w:rPr>
      </w:pPr>
      <w:r w:rsidRPr="000F0FE6">
        <w:rPr>
          <w:rFonts w:eastAsia="Times New Roman" w:cs="Times New Roman"/>
          <w:b/>
          <w:bCs/>
          <w:color w:val="000000"/>
          <w:lang w:val="en-US"/>
        </w:rPr>
        <w:lastRenderedPageBreak/>
        <w:t>TECHNICAL SPECIFICATION</w:t>
      </w:r>
    </w:p>
    <w:p w14:paraId="196B5F4E" w14:textId="77777777" w:rsidR="000F0FE6" w:rsidRPr="000F0FE6" w:rsidRDefault="000F0FE6" w:rsidP="000F0FE6">
      <w:pPr>
        <w:pStyle w:val="LO-normal"/>
        <w:spacing w:line="360" w:lineRule="auto"/>
        <w:jc w:val="center"/>
        <w:rPr>
          <w:rFonts w:eastAsia="Times New Roman" w:cs="Times New Roman"/>
          <w:color w:val="000000"/>
          <w:lang w:val="en-US"/>
        </w:rPr>
      </w:pPr>
      <w:r w:rsidRPr="000F0FE6">
        <w:rPr>
          <w:rFonts w:eastAsia="Times New Roman" w:cs="Times New Roman"/>
          <w:color w:val="000000"/>
          <w:lang w:val="en-US"/>
        </w:rPr>
        <w:t>Market Research Nr.: GNP/2025/TI/27</w:t>
      </w:r>
    </w:p>
    <w:p w14:paraId="4733E337" w14:textId="3140F46C" w:rsidR="000F0FE6" w:rsidRPr="000F0FE6" w:rsidRDefault="000F0FE6" w:rsidP="000F0FE6">
      <w:pPr>
        <w:pStyle w:val="LO-normal"/>
        <w:spacing w:line="360" w:lineRule="auto"/>
        <w:jc w:val="center"/>
        <w:rPr>
          <w:rFonts w:eastAsia="Times New Roman" w:cs="Times New Roman"/>
          <w:color w:val="000000"/>
          <w:lang w:val="en-US"/>
        </w:rPr>
      </w:pPr>
      <w:r w:rsidRPr="000F0FE6">
        <w:rPr>
          <w:rFonts w:eastAsia="Times New Roman" w:cs="Times New Roman"/>
          <w:color w:val="000000"/>
          <w:lang w:val="en-US"/>
        </w:rPr>
        <w:t xml:space="preserve">"Production and installation of bicycle, pedestrian, and scooter counter and display for the “Green Railway </w:t>
      </w:r>
      <w:r>
        <w:rPr>
          <w:rFonts w:eastAsia="Times New Roman" w:cs="Times New Roman"/>
          <w:color w:val="000000"/>
          <w:lang w:val="en-US"/>
        </w:rPr>
        <w:t>Route</w:t>
      </w:r>
      <w:r w:rsidRPr="000F0FE6">
        <w:rPr>
          <w:rFonts w:eastAsia="Times New Roman" w:cs="Times New Roman"/>
          <w:color w:val="000000"/>
          <w:lang w:val="en-US"/>
        </w:rPr>
        <w:t>” in the project “Green Railway II” EE-LV00057</w:t>
      </w:r>
      <w:r>
        <w:rPr>
          <w:rFonts w:eastAsia="Times New Roman" w:cs="Times New Roman"/>
          <w:color w:val="000000"/>
          <w:lang w:val="en-US"/>
        </w:rPr>
        <w:t>”</w:t>
      </w:r>
    </w:p>
    <w:p w14:paraId="2CA09172" w14:textId="77777777" w:rsidR="000F0FE6" w:rsidRPr="000F0FE6" w:rsidRDefault="000F0FE6" w:rsidP="000F0FE6">
      <w:pPr>
        <w:pStyle w:val="LO-normal"/>
        <w:spacing w:line="360" w:lineRule="auto"/>
        <w:jc w:val="center"/>
        <w:rPr>
          <w:rFonts w:eastAsia="Times New Roman" w:cs="Times New Roman"/>
          <w:color w:val="000000"/>
          <w:lang w:val="en-US"/>
        </w:rPr>
      </w:pPr>
      <w:r w:rsidRPr="000F0FE6">
        <w:rPr>
          <w:rFonts w:eastAsia="Times New Roman" w:cs="Times New Roman"/>
          <w:color w:val="000000"/>
          <w:lang w:val="en-US"/>
        </w:rPr>
        <w:t>Project is co-financed by the European Union</w:t>
      </w:r>
    </w:p>
    <w:p w14:paraId="33710667" w14:textId="77777777" w:rsidR="000F0FE6" w:rsidRPr="000F0FE6" w:rsidRDefault="000F0FE6" w:rsidP="000F0FE6">
      <w:pPr>
        <w:pStyle w:val="LO-normal"/>
        <w:spacing w:line="360" w:lineRule="auto"/>
        <w:jc w:val="center"/>
        <w:rPr>
          <w:rFonts w:eastAsia="Times New Roman" w:cs="Times New Roman"/>
          <w:color w:val="000000"/>
          <w:lang w:val="en-US"/>
        </w:rPr>
      </w:pPr>
    </w:p>
    <w:p w14:paraId="09BD6854" w14:textId="46DB55ED" w:rsidR="000F0FE6" w:rsidRPr="000F0FE6" w:rsidRDefault="000F0FE6" w:rsidP="000F0FE6">
      <w:pPr>
        <w:pStyle w:val="LO-normal"/>
        <w:spacing w:line="360" w:lineRule="auto"/>
        <w:rPr>
          <w:rFonts w:cs="Times New Roman"/>
          <w:b/>
          <w:bCs/>
          <w:lang w:val="en-US" w:eastAsia="en-US" w:bidi="ar-SA"/>
        </w:rPr>
      </w:pPr>
      <w:r w:rsidRPr="000F0FE6">
        <w:rPr>
          <w:rFonts w:cs="Times New Roman"/>
          <w:b/>
          <w:bCs/>
          <w:lang w:val="en-US" w:eastAsia="en-US" w:bidi="ar-SA"/>
        </w:rPr>
        <w:t>Product Name:</w:t>
      </w:r>
    </w:p>
    <w:p w14:paraId="77084A78" w14:textId="77777777" w:rsidR="000F0FE6" w:rsidRPr="000F0FE6" w:rsidRDefault="000F0FE6" w:rsidP="000F0FE6">
      <w:pPr>
        <w:pStyle w:val="Parasts1"/>
        <w:suppressAutoHyphens w:val="0"/>
        <w:spacing w:line="360" w:lineRule="auto"/>
        <w:rPr>
          <w:rFonts w:cs="Times New Roman"/>
          <w:b w:val="0"/>
          <w:bCs w:val="0"/>
          <w:kern w:val="0"/>
          <w:szCs w:val="24"/>
          <w:lang w:val="en-US" w:eastAsia="en-US"/>
        </w:rPr>
      </w:pPr>
      <w:r w:rsidRPr="000F0FE6">
        <w:rPr>
          <w:rFonts w:cs="Times New Roman"/>
          <w:b w:val="0"/>
          <w:bCs w:val="0"/>
          <w:color w:val="222222"/>
          <w:kern w:val="0"/>
          <w:szCs w:val="24"/>
          <w:lang w:val="en-US" w:eastAsia="zh-CN" w:bidi="hi-IN"/>
        </w:rPr>
        <w:t>Bicycle, pedestrian, and scooter counter and display equipped with data recording, reading systems, and a scoreboard.</w:t>
      </w:r>
    </w:p>
    <w:p w14:paraId="2630BBB9" w14:textId="77777777" w:rsidR="000F0FE6" w:rsidRPr="000F0FE6" w:rsidRDefault="000F0FE6" w:rsidP="000F0FE6">
      <w:pPr>
        <w:pStyle w:val="LO-normal"/>
        <w:spacing w:line="360" w:lineRule="auto"/>
        <w:rPr>
          <w:rFonts w:eastAsia="Times New Roman" w:cs="Times New Roman"/>
          <w:color w:val="000000"/>
          <w:lang w:val="en-US"/>
        </w:rPr>
      </w:pPr>
    </w:p>
    <w:p w14:paraId="5A149E5F" w14:textId="52DBED8A" w:rsidR="000F0FE6" w:rsidRPr="000F0FE6" w:rsidRDefault="000F0FE6" w:rsidP="000F0FE6">
      <w:pPr>
        <w:pStyle w:val="LO-normal"/>
        <w:spacing w:line="360" w:lineRule="auto"/>
        <w:rPr>
          <w:rFonts w:cs="Times New Roman"/>
          <w:b/>
          <w:bCs/>
          <w:color w:val="000000"/>
          <w:lang w:val="en-US"/>
        </w:rPr>
      </w:pPr>
      <w:r w:rsidRPr="000F0FE6">
        <w:rPr>
          <w:rFonts w:cs="Times New Roman"/>
          <w:b/>
          <w:bCs/>
          <w:color w:val="000000"/>
          <w:lang w:val="en-US"/>
        </w:rPr>
        <w:t>Technical specification</w:t>
      </w:r>
      <w:r>
        <w:rPr>
          <w:rFonts w:cs="Times New Roman"/>
          <w:b/>
          <w:bCs/>
          <w:color w:val="000000"/>
          <w:lang w:val="en-US"/>
        </w:rPr>
        <w:t>:</w:t>
      </w:r>
    </w:p>
    <w:p w14:paraId="3D1F41DF" w14:textId="77777777" w:rsidR="000F0FE6" w:rsidRDefault="000F0FE6" w:rsidP="000F0FE6">
      <w:pPr>
        <w:pStyle w:val="LO-normal"/>
        <w:spacing w:line="360" w:lineRule="auto"/>
        <w:ind w:firstLine="720"/>
        <w:jc w:val="both"/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</w:pPr>
      <w:r w:rsidRPr="000F0FE6">
        <w:rPr>
          <w:rFonts w:cs="Times New Roman"/>
          <w:color w:val="222222"/>
          <w:lang w:val="en-US"/>
        </w:rPr>
        <w:t>Bicycle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/pedestrian counter integrated into the asphalt pavement.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Counting</w:t>
      </w:r>
      <w:r w:rsidRPr="000F0FE6">
        <w:rPr>
          <w:rFonts w:cs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range/perceptibility – 2.5</w:t>
      </w:r>
      <w:r w:rsidRPr="000F0FE6">
        <w:rPr>
          <w:rFonts w:cs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meters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.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Installation outdoors with electricity connection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(provided by the Customer).</w:t>
      </w:r>
    </w:p>
    <w:p w14:paraId="49AAC5C4" w14:textId="70B4E945" w:rsidR="000F0FE6" w:rsidRDefault="000F0FE6" w:rsidP="000F0FE6">
      <w:pPr>
        <w:pStyle w:val="LO-normal"/>
        <w:spacing w:line="360" w:lineRule="auto"/>
        <w:ind w:firstLine="720"/>
        <w:jc w:val="both"/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</w:pP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Counter housing with a</w:t>
      </w:r>
      <w:r w:rsidRPr="000F0FE6">
        <w:rPr>
          <w:rFonts w:cs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durable metal pole with a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responsive sensor.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Display for real-time display of bicycle/pedestrian flow</w:t>
      </w:r>
      <w:r w:rsidRPr="000F0FE6">
        <w:rPr>
          <w:rFonts w:cs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(installation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according to Customer's instructions). The display's graphic visualization includes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Gulbene region</w:t>
      </w:r>
      <w:r w:rsidRPr="000F0FE6">
        <w:rPr>
          <w:rFonts w:cs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symbols (necessary information provided by the Customer).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Warranty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period not less than 2 years after installation.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Real-time data transmission provision for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at least </w:t>
      </w:r>
      <w:r w:rsidR="004F0D83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1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year.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Ability to analyze and export acquired data.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If the constructed pavement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is damaged during the installation of the bicycle/pedestrian counter and display, it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must be restored to its original condition.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</w:p>
    <w:p w14:paraId="2BEA37C2" w14:textId="16FB70D5" w:rsidR="000F0FE6" w:rsidRPr="00250490" w:rsidRDefault="000F0FE6" w:rsidP="000F0FE6">
      <w:pPr>
        <w:pStyle w:val="LO-normal"/>
        <w:spacing w:line="360" w:lineRule="auto"/>
        <w:ind w:firstLine="720"/>
        <w:jc w:val="both"/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</w:pP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The work includes the installation of the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bicycle/pedestrian counter and display, possible additional materials, their delivery and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preparation, equipment, tools, transport, inspections and unforeseen work necessary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for the execution of the main work.</w:t>
      </w:r>
      <w:r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Before ordering the bicycle/pedestrian counter and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display, the color, appearance, size and location of the elements must be </w:t>
      </w:r>
      <w:r w:rsidR="00250490">
        <w:rPr>
          <w:rFonts w:eastAsia="Times New Roman" w:cs="Times New Roman"/>
          <w:color w:val="000000"/>
          <w:kern w:val="1"/>
          <w:shd w:val="clear" w:color="auto" w:fill="FFFFFF"/>
          <w:lang w:eastAsia="ar-SA" w:bidi="ar-SA"/>
        </w:rPr>
        <w:t>a</w:t>
      </w:r>
      <w:r w:rsidR="00250490" w:rsidRPr="00250490">
        <w:rPr>
          <w:rFonts w:eastAsia="Times New Roman" w:cs="Times New Roman"/>
          <w:color w:val="000000"/>
          <w:kern w:val="1"/>
          <w:shd w:val="clear" w:color="auto" w:fill="FFFFFF"/>
          <w:lang w:eastAsia="ar-SA" w:bidi="ar-SA"/>
        </w:rPr>
        <w:t>pproved</w:t>
      </w:r>
      <w:r w:rsidRPr="000F0FE6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with the</w:t>
      </w:r>
      <w:r w:rsidRPr="000F0FE6">
        <w:rPr>
          <w:rFonts w:eastAsia="Times New Roman" w:cs="Times New Roman"/>
          <w:b/>
          <w:bCs/>
          <w:color w:val="000000"/>
          <w:kern w:val="1"/>
          <w:shd w:val="clear" w:color="auto" w:fill="FFFFFF"/>
          <w:lang w:val="en-US" w:eastAsia="ar-SA" w:bidi="ar-SA"/>
        </w:rPr>
        <w:t xml:space="preserve"> </w:t>
      </w:r>
      <w:r w:rsidRPr="000F0FE6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Customer.</w:t>
      </w:r>
    </w:p>
    <w:p w14:paraId="09603261" w14:textId="77777777" w:rsidR="000F0FE6" w:rsidRPr="000F0FE6" w:rsidRDefault="000F0FE6" w:rsidP="000F0FE6">
      <w:pPr>
        <w:pStyle w:val="LO-normal"/>
        <w:spacing w:line="360" w:lineRule="auto"/>
        <w:jc w:val="both"/>
        <w:rPr>
          <w:rFonts w:eastAsia="Times New Roman" w:cs="Times New Roman"/>
          <w:b/>
          <w:bCs/>
          <w:color w:val="000000"/>
          <w:kern w:val="1"/>
          <w:shd w:val="clear" w:color="auto" w:fill="FFFFFF"/>
          <w:lang w:val="en-US" w:eastAsia="ar-SA" w:bidi="ar-SA"/>
        </w:rPr>
      </w:pPr>
    </w:p>
    <w:p w14:paraId="2EC527E3" w14:textId="23EDCEBC" w:rsidR="000F0FE6" w:rsidRPr="000F0FE6" w:rsidRDefault="000F0FE6" w:rsidP="000F0FE6">
      <w:pPr>
        <w:pStyle w:val="LO-normal"/>
        <w:spacing w:line="360" w:lineRule="auto"/>
        <w:jc w:val="both"/>
        <w:rPr>
          <w:rFonts w:eastAsia="Times New Roman" w:cs="Times New Roman"/>
          <w:b/>
          <w:bCs/>
          <w:color w:val="000000"/>
          <w:kern w:val="1"/>
          <w:shd w:val="clear" w:color="auto" w:fill="FFFFFF"/>
          <w:lang w:val="en-US" w:eastAsia="ar-SA" w:bidi="ar-SA"/>
        </w:rPr>
      </w:pPr>
      <w:r w:rsidRPr="000F0FE6">
        <w:rPr>
          <w:rFonts w:eastAsia="Times New Roman" w:cs="Times New Roman"/>
          <w:b/>
          <w:bCs/>
          <w:color w:val="000000"/>
          <w:kern w:val="1"/>
          <w:shd w:val="clear" w:color="auto" w:fill="FFFFFF"/>
          <w:lang w:val="en-US" w:eastAsia="ar-SA" w:bidi="ar-SA"/>
        </w:rPr>
        <w:t>Number:</w:t>
      </w:r>
    </w:p>
    <w:p w14:paraId="06D57178" w14:textId="76F454AC" w:rsidR="000F0FE6" w:rsidRPr="00113CD5" w:rsidRDefault="000F0FE6" w:rsidP="000F0FE6">
      <w:pPr>
        <w:pStyle w:val="LO-normal"/>
        <w:spacing w:line="360" w:lineRule="auto"/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</w:pPr>
      <w:r w:rsidRPr="00113CD5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>1</w:t>
      </w:r>
      <w:r w:rsidR="00991E29">
        <w:rPr>
          <w:rFonts w:eastAsia="Times New Roman" w:cs="Times New Roman"/>
          <w:color w:val="000000"/>
          <w:kern w:val="1"/>
          <w:shd w:val="clear" w:color="auto" w:fill="FFFFFF"/>
          <w:lang w:val="en-US" w:eastAsia="ar-SA" w:bidi="ar-SA"/>
        </w:rPr>
        <w:t xml:space="preserve"> counter, 1 display</w:t>
      </w:r>
    </w:p>
    <w:p w14:paraId="0C776505" w14:textId="77777777" w:rsidR="000F0FE6" w:rsidRPr="000F0FE6" w:rsidRDefault="000F0FE6" w:rsidP="000F0FE6">
      <w:pPr>
        <w:pStyle w:val="LO-normal"/>
        <w:spacing w:line="360" w:lineRule="auto"/>
        <w:rPr>
          <w:rFonts w:eastAsia="Times New Roman" w:cs="Times New Roman"/>
          <w:b/>
          <w:bCs/>
          <w:color w:val="000000"/>
          <w:kern w:val="1"/>
          <w:shd w:val="clear" w:color="auto" w:fill="FFFFFF"/>
          <w:lang w:val="en-US" w:eastAsia="ar-SA" w:bidi="ar-SA"/>
        </w:rPr>
      </w:pPr>
    </w:p>
    <w:p w14:paraId="5F526BD3" w14:textId="77777777" w:rsidR="00991E29" w:rsidRPr="00991E29" w:rsidRDefault="00991E29" w:rsidP="000F0FE6">
      <w:pPr>
        <w:pStyle w:val="LO-normal"/>
        <w:spacing w:line="360" w:lineRule="auto"/>
        <w:rPr>
          <w:b/>
          <w:bCs/>
          <w:lang w:val="en-US"/>
        </w:rPr>
      </w:pPr>
      <w:r w:rsidRPr="00991E29">
        <w:rPr>
          <w:b/>
          <w:bCs/>
          <w:lang w:val="en-US"/>
        </w:rPr>
        <w:t>Procurement Execution Deadline:</w:t>
      </w:r>
    </w:p>
    <w:p w14:paraId="397E75DB" w14:textId="0C562191" w:rsidR="000F0FE6" w:rsidRPr="000F0FE6" w:rsidRDefault="00991E29" w:rsidP="000F0FE6">
      <w:pPr>
        <w:pStyle w:val="LO-normal"/>
        <w:spacing w:line="360" w:lineRule="auto"/>
        <w:rPr>
          <w:rFonts w:eastAsia="Times New Roman" w:cs="Times New Roman"/>
          <w:color w:val="000000"/>
          <w:lang w:val="en-US"/>
        </w:rPr>
      </w:pPr>
      <w:r w:rsidRPr="00AB3398">
        <w:rPr>
          <w:lang w:val="en-US"/>
        </w:rPr>
        <w:t>By May 2</w:t>
      </w:r>
      <w:r>
        <w:rPr>
          <w:lang w:val="en-US"/>
        </w:rPr>
        <w:t>1</w:t>
      </w:r>
      <w:r w:rsidRPr="00AB3398">
        <w:rPr>
          <w:lang w:val="en-US"/>
        </w:rPr>
        <w:t>, 2025</w:t>
      </w:r>
    </w:p>
    <w:p w14:paraId="2A72AA34" w14:textId="77777777" w:rsidR="000F0FE6" w:rsidRPr="000F0FE6" w:rsidRDefault="000F0FE6" w:rsidP="000F0FE6">
      <w:pPr>
        <w:pStyle w:val="LO-normal"/>
        <w:spacing w:line="360" w:lineRule="auto"/>
        <w:jc w:val="center"/>
        <w:rPr>
          <w:rFonts w:eastAsia="Times New Roman" w:cs="Times New Roman"/>
          <w:color w:val="000000"/>
          <w:lang w:val="en-US"/>
        </w:rPr>
      </w:pPr>
    </w:p>
    <w:p w14:paraId="6E9532B2" w14:textId="77777777" w:rsidR="000F0FE6" w:rsidRPr="000F0FE6" w:rsidRDefault="000F0FE6" w:rsidP="000F0FE6">
      <w:pPr>
        <w:pStyle w:val="LO-normal"/>
        <w:spacing w:line="360" w:lineRule="auto"/>
        <w:jc w:val="center"/>
        <w:rPr>
          <w:rFonts w:eastAsia="Times New Roman" w:cs="Times New Roman"/>
          <w:color w:val="000000"/>
          <w:lang w:val="en-US"/>
        </w:rPr>
      </w:pPr>
    </w:p>
    <w:p w14:paraId="20A7B128" w14:textId="0B979801" w:rsidR="000F0FE6" w:rsidRPr="000F0FE6" w:rsidRDefault="000F0FE6" w:rsidP="000F0FE6">
      <w:pPr>
        <w:pStyle w:val="Parasts1"/>
        <w:tabs>
          <w:tab w:val="left" w:pos="720"/>
        </w:tabs>
        <w:snapToGrid w:val="0"/>
        <w:spacing w:line="360" w:lineRule="auto"/>
        <w:jc w:val="both"/>
        <w:rPr>
          <w:rFonts w:cs="Times New Roman"/>
          <w:b w:val="0"/>
          <w:bCs w:val="0"/>
          <w:color w:val="000000"/>
          <w:shd w:val="clear" w:color="auto" w:fill="FFFFFF"/>
          <w:lang w:val="en-US"/>
        </w:rPr>
      </w:pPr>
    </w:p>
    <w:sectPr w:rsidR="000F0FE6" w:rsidRPr="000F0FE6" w:rsidSect="000F0FE6">
      <w:pgSz w:w="11906" w:h="16838" w:code="9"/>
      <w:pgMar w:top="567" w:right="567" w:bottom="567" w:left="567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79D"/>
    <w:multiLevelType w:val="multilevel"/>
    <w:tmpl w:val="C44C0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3A0361"/>
    <w:multiLevelType w:val="multilevel"/>
    <w:tmpl w:val="C44C0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D553B5"/>
    <w:multiLevelType w:val="hybridMultilevel"/>
    <w:tmpl w:val="1302AC7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D9C"/>
    <w:multiLevelType w:val="hybridMultilevel"/>
    <w:tmpl w:val="2E62B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F044B"/>
    <w:multiLevelType w:val="multilevel"/>
    <w:tmpl w:val="C44C0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422BC5"/>
    <w:multiLevelType w:val="multilevel"/>
    <w:tmpl w:val="E31A1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A581BD1"/>
    <w:multiLevelType w:val="hybridMultilevel"/>
    <w:tmpl w:val="1302AC7A"/>
    <w:lvl w:ilvl="0" w:tplc="62EA47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C5724"/>
    <w:multiLevelType w:val="multilevel"/>
    <w:tmpl w:val="6D5CF6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B3B661F"/>
    <w:multiLevelType w:val="multilevel"/>
    <w:tmpl w:val="C44C0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91954790">
    <w:abstractNumId w:val="0"/>
  </w:num>
  <w:num w:numId="2" w16cid:durableId="234362460">
    <w:abstractNumId w:val="7"/>
  </w:num>
  <w:num w:numId="3" w16cid:durableId="1140616424">
    <w:abstractNumId w:val="5"/>
  </w:num>
  <w:num w:numId="4" w16cid:durableId="773793731">
    <w:abstractNumId w:val="3"/>
  </w:num>
  <w:num w:numId="5" w16cid:durableId="1401712203">
    <w:abstractNumId w:val="1"/>
  </w:num>
  <w:num w:numId="6" w16cid:durableId="1621187180">
    <w:abstractNumId w:val="4"/>
  </w:num>
  <w:num w:numId="7" w16cid:durableId="108790870">
    <w:abstractNumId w:val="8"/>
  </w:num>
  <w:num w:numId="8" w16cid:durableId="886768905">
    <w:abstractNumId w:val="6"/>
  </w:num>
  <w:num w:numId="9" w16cid:durableId="20448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99"/>
    <w:rsid w:val="00006411"/>
    <w:rsid w:val="00014B92"/>
    <w:rsid w:val="00033077"/>
    <w:rsid w:val="000461A3"/>
    <w:rsid w:val="0008679D"/>
    <w:rsid w:val="000D38E8"/>
    <w:rsid w:val="000F0FE6"/>
    <w:rsid w:val="000F6280"/>
    <w:rsid w:val="00104A6A"/>
    <w:rsid w:val="00107947"/>
    <w:rsid w:val="00113CD5"/>
    <w:rsid w:val="001542AB"/>
    <w:rsid w:val="001718C6"/>
    <w:rsid w:val="001A12D4"/>
    <w:rsid w:val="001F68E4"/>
    <w:rsid w:val="00205334"/>
    <w:rsid w:val="002115B6"/>
    <w:rsid w:val="00250490"/>
    <w:rsid w:val="002605DA"/>
    <w:rsid w:val="00267122"/>
    <w:rsid w:val="00275E45"/>
    <w:rsid w:val="002A4B29"/>
    <w:rsid w:val="002D5B02"/>
    <w:rsid w:val="002E1282"/>
    <w:rsid w:val="00312EC6"/>
    <w:rsid w:val="003825A1"/>
    <w:rsid w:val="00390096"/>
    <w:rsid w:val="003A3022"/>
    <w:rsid w:val="003D78BC"/>
    <w:rsid w:val="003F0EBD"/>
    <w:rsid w:val="003F35F6"/>
    <w:rsid w:val="00421897"/>
    <w:rsid w:val="00424C7F"/>
    <w:rsid w:val="004A3928"/>
    <w:rsid w:val="004B0E57"/>
    <w:rsid w:val="004B48E7"/>
    <w:rsid w:val="004E4016"/>
    <w:rsid w:val="004F0D83"/>
    <w:rsid w:val="0052038B"/>
    <w:rsid w:val="00520F50"/>
    <w:rsid w:val="00533E67"/>
    <w:rsid w:val="00545735"/>
    <w:rsid w:val="00567039"/>
    <w:rsid w:val="00574A3E"/>
    <w:rsid w:val="005A0665"/>
    <w:rsid w:val="005B5B4C"/>
    <w:rsid w:val="005C005C"/>
    <w:rsid w:val="005E377B"/>
    <w:rsid w:val="005F7DF9"/>
    <w:rsid w:val="00604F2B"/>
    <w:rsid w:val="00647BC2"/>
    <w:rsid w:val="006511B8"/>
    <w:rsid w:val="00661A4F"/>
    <w:rsid w:val="006F47DE"/>
    <w:rsid w:val="00711BD4"/>
    <w:rsid w:val="00780E07"/>
    <w:rsid w:val="00780F59"/>
    <w:rsid w:val="0079475C"/>
    <w:rsid w:val="007A0399"/>
    <w:rsid w:val="007B2388"/>
    <w:rsid w:val="007E0D72"/>
    <w:rsid w:val="007E2F32"/>
    <w:rsid w:val="00844CE8"/>
    <w:rsid w:val="008D0E88"/>
    <w:rsid w:val="008E3047"/>
    <w:rsid w:val="00931B13"/>
    <w:rsid w:val="00991E29"/>
    <w:rsid w:val="009E21C1"/>
    <w:rsid w:val="00A5178B"/>
    <w:rsid w:val="00A9252B"/>
    <w:rsid w:val="00A9751D"/>
    <w:rsid w:val="00AB2BBD"/>
    <w:rsid w:val="00AC6F89"/>
    <w:rsid w:val="00AD3AE9"/>
    <w:rsid w:val="00AD40AF"/>
    <w:rsid w:val="00AE4A54"/>
    <w:rsid w:val="00B41E4A"/>
    <w:rsid w:val="00B44808"/>
    <w:rsid w:val="00B56BB9"/>
    <w:rsid w:val="00B7153B"/>
    <w:rsid w:val="00B83F0D"/>
    <w:rsid w:val="00B85790"/>
    <w:rsid w:val="00BC7A6C"/>
    <w:rsid w:val="00C01F28"/>
    <w:rsid w:val="00C260E9"/>
    <w:rsid w:val="00C47AAB"/>
    <w:rsid w:val="00C65880"/>
    <w:rsid w:val="00CA7D50"/>
    <w:rsid w:val="00CF7BB4"/>
    <w:rsid w:val="00D13B88"/>
    <w:rsid w:val="00D23BF8"/>
    <w:rsid w:val="00D43986"/>
    <w:rsid w:val="00D51618"/>
    <w:rsid w:val="00D6553B"/>
    <w:rsid w:val="00D66470"/>
    <w:rsid w:val="00D8081A"/>
    <w:rsid w:val="00E1602E"/>
    <w:rsid w:val="00E77E98"/>
    <w:rsid w:val="00E8174C"/>
    <w:rsid w:val="00EB7EE3"/>
    <w:rsid w:val="00EE1AAF"/>
    <w:rsid w:val="00EE4B92"/>
    <w:rsid w:val="00F835D0"/>
    <w:rsid w:val="00FA4D5A"/>
    <w:rsid w:val="00FB1D09"/>
    <w:rsid w:val="00FC4745"/>
    <w:rsid w:val="00FD65C7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C3786"/>
  <w15:docId w15:val="{F888542E-C900-4D53-86CC-59A6F86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Mangal"/>
        <w:sz w:val="24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47DF"/>
  </w:style>
  <w:style w:type="paragraph" w:styleId="Virsrakst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2157D7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2157D7"/>
    <w:rPr>
      <w:rFonts w:ascii="Times New Roman" w:hAnsi="Times New Roman"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2157D7"/>
    <w:rPr>
      <w:rFonts w:ascii="Times New Roman" w:hAnsi="Times New Roman"/>
      <w:b/>
      <w:bCs/>
      <w:sz w:val="20"/>
      <w:szCs w:val="20"/>
    </w:rPr>
  </w:style>
  <w:style w:type="character" w:customStyle="1" w:styleId="Internetasaite">
    <w:name w:val="Interneta saite"/>
    <w:basedOn w:val="Noklusjumarindkopasfonts"/>
    <w:uiPriority w:val="99"/>
    <w:unhideWhenUsed/>
    <w:rsid w:val="00E21A6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E21A63"/>
    <w:rPr>
      <w:color w:val="605E5C"/>
      <w:shd w:val="clear" w:color="auto" w:fill="E1DFDD"/>
    </w:rPr>
  </w:style>
  <w:style w:type="paragraph" w:customStyle="1" w:styleId="Virsraksts">
    <w:name w:val="Virsraksts"/>
    <w:basedOn w:val="LO-normal1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LO-normal1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LO-normal1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LO-normal1"/>
    <w:qFormat/>
    <w:pPr>
      <w:suppressLineNumbers/>
    </w:pPr>
  </w:style>
  <w:style w:type="paragraph" w:customStyle="1" w:styleId="LO-normal1">
    <w:name w:val="LO-normal1"/>
    <w:qFormat/>
  </w:style>
  <w:style w:type="paragraph" w:styleId="Nosaukums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</w:style>
  <w:style w:type="paragraph" w:styleId="Sarakstarindkopa">
    <w:name w:val="List Paragraph"/>
    <w:basedOn w:val="LO-normal1"/>
    <w:uiPriority w:val="34"/>
    <w:qFormat/>
    <w:rsid w:val="009523AD"/>
    <w:pPr>
      <w:ind w:left="720"/>
      <w:contextualSpacing/>
    </w:pPr>
  </w:style>
  <w:style w:type="paragraph" w:styleId="Komentrateksts">
    <w:name w:val="annotation text"/>
    <w:basedOn w:val="LO-normal1"/>
    <w:link w:val="KomentratekstsRakstz"/>
    <w:uiPriority w:val="99"/>
    <w:semiHidden/>
    <w:unhideWhenUsed/>
    <w:qFormat/>
    <w:rsid w:val="002157D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2157D7"/>
    <w:rPr>
      <w:b/>
      <w:bCs/>
    </w:rPr>
  </w:style>
  <w:style w:type="paragraph" w:styleId="Apakvirsraksts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stais">
    <w:name w:val="Parastais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7B2388"/>
    <w:rPr>
      <w:szCs w:val="21"/>
    </w:rPr>
  </w:style>
  <w:style w:type="paragraph" w:customStyle="1" w:styleId="Parasts1">
    <w:name w:val="Parasts1"/>
    <w:qFormat/>
    <w:rsid w:val="00AC6F89"/>
    <w:rPr>
      <w:rFonts w:eastAsia="Times New Roman" w:cs="Arial"/>
      <w:b/>
      <w:bCs/>
      <w:kern w:val="1"/>
      <w:szCs w:val="32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q6FidfzGX4noAQbU0ADcwN3GbQ==">CgMxLjAyCGguZ2pkZ3hzOAByITFhNkJvTUNURFktam1lRXNFTnRpVnFkM1RrNTQ5OHNFcQ==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Igaviņa</dc:creator>
  <dc:description/>
  <cp:lastModifiedBy>Simona</cp:lastModifiedBy>
  <cp:revision>47</cp:revision>
  <dcterms:created xsi:type="dcterms:W3CDTF">2024-10-31T10:03:00Z</dcterms:created>
  <dcterms:modified xsi:type="dcterms:W3CDTF">2025-03-31T13:55:00Z</dcterms:modified>
  <dc:language>lv-LV</dc:language>
</cp:coreProperties>
</file>