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B96F01">
      <w:pPr>
        <w:spacing w:after="24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C71C334" w14:textId="77777777" w:rsidR="00B96F01" w:rsidRDefault="00B96F01" w:rsidP="00B96F0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035A6C4C" w14:textId="77777777" w:rsidR="00B96F01" w:rsidRPr="00067C78" w:rsidRDefault="00B96F01" w:rsidP="00B96F0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kokmateriāliem </w:t>
      </w:r>
      <w:r w:rsidRPr="00907F73">
        <w:rPr>
          <w:rFonts w:ascii="Times New Roman" w:eastAsia="Calibri" w:hAnsi="Times New Roman" w:cs="Times New Roman"/>
          <w:i/>
          <w:iCs/>
          <w:lang w:eastAsia="en-US"/>
        </w:rPr>
        <w:t xml:space="preserve">392,38 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>m</w:t>
      </w:r>
      <w:r w:rsidRPr="001121B8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apjomā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3EF9613F" w14:textId="77777777" w:rsidR="00B96F01" w:rsidRPr="00907F73" w:rsidRDefault="00B96F01" w:rsidP="00B96F0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F7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kustamās mantas - </w:t>
      </w:r>
      <w:r w:rsidRPr="00907F73">
        <w:rPr>
          <w:rFonts w:ascii="Times New Roman" w:hAnsi="Times New Roman" w:cs="Times New Roman"/>
          <w:b/>
          <w:bCs/>
          <w:sz w:val="24"/>
          <w:szCs w:val="24"/>
        </w:rPr>
        <w:t xml:space="preserve">kokmateriāliem ar kopējo apjomu 392,38 m3 </w:t>
      </w:r>
      <w:r w:rsidRPr="00907F73">
        <w:rPr>
          <w:rFonts w:ascii="Times New Roman" w:hAnsi="Times New Roman" w:cs="Times New Roman"/>
          <w:sz w:val="20"/>
          <w:szCs w:val="20"/>
        </w:rPr>
        <w:t>(t.i. kokmateriālus 262,43 m</w:t>
      </w:r>
      <w:r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07F73">
        <w:rPr>
          <w:rFonts w:ascii="Times New Roman" w:hAnsi="Times New Roman" w:cs="Times New Roman"/>
          <w:sz w:val="20"/>
          <w:szCs w:val="20"/>
        </w:rPr>
        <w:t xml:space="preserve"> apjomā, kas atrodas </w:t>
      </w:r>
      <w:r w:rsidRPr="00907F73">
        <w:rPr>
          <w:rFonts w:ascii="Times New Roman" w:hAnsi="Times New Roman" w:cs="Times New Roman"/>
          <w:b/>
          <w:bCs/>
          <w:sz w:val="20"/>
          <w:szCs w:val="20"/>
        </w:rPr>
        <w:t>krautuvē nekustamā īpašuma Litenes pagastā ar nosaukumu “Skujiņas”</w:t>
      </w:r>
      <w:r w:rsidRPr="00907F73">
        <w:rPr>
          <w:rFonts w:ascii="Times New Roman" w:hAnsi="Times New Roman" w:cs="Times New Roman"/>
          <w:sz w:val="20"/>
          <w:szCs w:val="20"/>
        </w:rPr>
        <w:t xml:space="preserve">, kadastra numurs 5068 001 0090, sastāvā ietilpstošajā zemes vienībā ar kadastra apzīmējumu 50680010090, sortiments: egles zāģbaļķi 27,31 m3, apses zāģbaļķi 10,16 m3, lapu koka taras kluči 69,71 m3, skuju koka papīrmalka 36,10 m3, bērza papīrmalka 45,87 m3, skuju koka taras kluči 27,69 m3, priedes </w:t>
      </w:r>
      <w:proofErr w:type="spellStart"/>
      <w:r w:rsidRPr="00907F73">
        <w:rPr>
          <w:rFonts w:ascii="Times New Roman" w:hAnsi="Times New Roman" w:cs="Times New Roman"/>
          <w:sz w:val="20"/>
          <w:szCs w:val="20"/>
        </w:rPr>
        <w:t>zaķbaļķi</w:t>
      </w:r>
      <w:proofErr w:type="spellEnd"/>
      <w:r w:rsidRPr="00907F73">
        <w:rPr>
          <w:rFonts w:ascii="Times New Roman" w:hAnsi="Times New Roman" w:cs="Times New Roman"/>
          <w:sz w:val="20"/>
          <w:szCs w:val="20"/>
        </w:rPr>
        <w:t xml:space="preserve"> 21,30 m3, bērza finierkluči 16,65 m3 (sortimenta garums 3,20 m), bērza finierkluči 7,64 m3 (sortimenta garums 4,80 m); un kokmateriālus 129,95 m</w:t>
      </w:r>
      <w:r w:rsidRPr="00907F73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907F73">
        <w:rPr>
          <w:rFonts w:ascii="Times New Roman" w:hAnsi="Times New Roman" w:cs="Times New Roman"/>
          <w:sz w:val="20"/>
          <w:szCs w:val="20"/>
        </w:rPr>
        <w:t>apjomā,</w:t>
      </w:r>
      <w:r w:rsidRPr="00907F7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907F73">
        <w:rPr>
          <w:rFonts w:ascii="Times New Roman" w:hAnsi="Times New Roman" w:cs="Times New Roman"/>
          <w:sz w:val="20"/>
          <w:szCs w:val="20"/>
        </w:rPr>
        <w:t xml:space="preserve">kas atrodas </w:t>
      </w:r>
      <w:r w:rsidRPr="00907F73">
        <w:rPr>
          <w:rFonts w:ascii="Times New Roman" w:hAnsi="Times New Roman" w:cs="Times New Roman"/>
          <w:b/>
          <w:bCs/>
          <w:sz w:val="20"/>
          <w:szCs w:val="20"/>
        </w:rPr>
        <w:t>krautuvē nekustamā īpašuma Litenes pagastā ar nosaukumu “Vilki”</w:t>
      </w:r>
      <w:r w:rsidRPr="00907F73">
        <w:rPr>
          <w:rFonts w:ascii="Times New Roman" w:hAnsi="Times New Roman" w:cs="Times New Roman"/>
          <w:sz w:val="20"/>
          <w:szCs w:val="20"/>
        </w:rPr>
        <w:t>, kadastra numurs 5068 001 0044, sastāvā ietilpstošajā zemes vienībā ar kadastra apzīmējumu 50680010044, sortiments: egles zāģbaļķi 6,87 m</w:t>
      </w:r>
      <w:r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07F73">
        <w:rPr>
          <w:rFonts w:ascii="Times New Roman" w:hAnsi="Times New Roman" w:cs="Times New Roman"/>
          <w:sz w:val="20"/>
          <w:szCs w:val="20"/>
        </w:rPr>
        <w:t>, apses zāģbaļķi 8,12 m</w:t>
      </w:r>
      <w:r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07F73">
        <w:rPr>
          <w:rFonts w:ascii="Times New Roman" w:hAnsi="Times New Roman" w:cs="Times New Roman"/>
          <w:sz w:val="20"/>
          <w:szCs w:val="20"/>
        </w:rPr>
        <w:t>, lapu koka taras kluči 24,50 m</w:t>
      </w:r>
      <w:r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07F73">
        <w:rPr>
          <w:rFonts w:ascii="Times New Roman" w:hAnsi="Times New Roman" w:cs="Times New Roman"/>
          <w:sz w:val="20"/>
          <w:szCs w:val="20"/>
        </w:rPr>
        <w:t>, skuju koka papīrmalka 12,00 m</w:t>
      </w:r>
      <w:r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07F73">
        <w:rPr>
          <w:rFonts w:ascii="Times New Roman" w:hAnsi="Times New Roman" w:cs="Times New Roman"/>
          <w:sz w:val="20"/>
          <w:szCs w:val="20"/>
        </w:rPr>
        <w:t>, bērza papīrmalka 67,59 m</w:t>
      </w:r>
      <w:r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07F73">
        <w:rPr>
          <w:rFonts w:ascii="Times New Roman" w:hAnsi="Times New Roman" w:cs="Times New Roman"/>
          <w:sz w:val="20"/>
          <w:szCs w:val="20"/>
        </w:rPr>
        <w:t>, skuju koka taras kluči 6,08 m</w:t>
      </w:r>
      <w:r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07F73">
        <w:rPr>
          <w:rFonts w:ascii="Times New Roman" w:hAnsi="Times New Roman" w:cs="Times New Roman"/>
          <w:sz w:val="20"/>
          <w:szCs w:val="20"/>
        </w:rPr>
        <w:t>, bērza finierkluči 4,79 m</w:t>
      </w:r>
      <w:r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07F73">
        <w:rPr>
          <w:rFonts w:ascii="Times New Roman" w:eastAsia="Calibri" w:hAnsi="Times New Roman" w:cs="Times New Roman"/>
          <w:sz w:val="20"/>
          <w:szCs w:val="20"/>
          <w:lang w:eastAsia="en-US"/>
        </w:rPr>
        <w:t>))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907F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07F7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atklātu mutisku izsoli ar augšupejošu soli.</w:t>
      </w:r>
      <w:r w:rsidRPr="00907F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47C6913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097508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7508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D9E4E3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4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4292"/>
    <w:rsid w:val="0004718F"/>
    <w:rsid w:val="00067C78"/>
    <w:rsid w:val="00097508"/>
    <w:rsid w:val="000A473B"/>
    <w:rsid w:val="000D35A8"/>
    <w:rsid w:val="001121B8"/>
    <w:rsid w:val="001C6231"/>
    <w:rsid w:val="001D3DD6"/>
    <w:rsid w:val="002326A4"/>
    <w:rsid w:val="002A1903"/>
    <w:rsid w:val="00314EA2"/>
    <w:rsid w:val="003F3C3F"/>
    <w:rsid w:val="00450060"/>
    <w:rsid w:val="00474758"/>
    <w:rsid w:val="004C2CCD"/>
    <w:rsid w:val="00563018"/>
    <w:rsid w:val="00583494"/>
    <w:rsid w:val="00651EA5"/>
    <w:rsid w:val="00736FBD"/>
    <w:rsid w:val="00777E18"/>
    <w:rsid w:val="00793AF4"/>
    <w:rsid w:val="009225AD"/>
    <w:rsid w:val="00944F30"/>
    <w:rsid w:val="00966198"/>
    <w:rsid w:val="009A57C5"/>
    <w:rsid w:val="00B468EF"/>
    <w:rsid w:val="00B674AD"/>
    <w:rsid w:val="00B96F01"/>
    <w:rsid w:val="00CF5922"/>
    <w:rsid w:val="00D21E12"/>
    <w:rsid w:val="00D43326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6</cp:revision>
  <cp:lastPrinted>2023-12-01T13:42:00Z</cp:lastPrinted>
  <dcterms:created xsi:type="dcterms:W3CDTF">2025-02-03T08:31:00Z</dcterms:created>
  <dcterms:modified xsi:type="dcterms:W3CDTF">2025-04-16T08:27:00Z</dcterms:modified>
</cp:coreProperties>
</file>