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458" w:type="dxa"/>
        <w:tblInd w:w="0" w:type="dxa"/>
        <w:tblBorders>
          <w:bottom w:val="single" w:sz="4" w:space="0" w:color="000000"/>
        </w:tblBorders>
        <w:tblLayout w:type="fixed"/>
        <w:tblLook w:val="0400" w:firstRow="0" w:lastRow="0" w:firstColumn="0" w:lastColumn="0" w:noHBand="0" w:noVBand="1"/>
      </w:tblPr>
      <w:tblGrid>
        <w:gridCol w:w="9458"/>
      </w:tblGrid>
      <w:tr w:rsidR="006F3F0B" w14:paraId="74F10542" w14:textId="77777777">
        <w:tc>
          <w:tcPr>
            <w:tcW w:w="9458" w:type="dxa"/>
            <w:shd w:val="clear" w:color="auto" w:fill="auto"/>
          </w:tcPr>
          <w:p w14:paraId="74F10541" w14:textId="77777777" w:rsidR="006F3F0B" w:rsidRDefault="006455F1">
            <w:pPr>
              <w:spacing w:after="0" w:line="240" w:lineRule="auto"/>
              <w:jc w:val="center"/>
            </w:pPr>
            <w:r>
              <w:rPr>
                <w:rFonts w:ascii="Times New Roman" w:eastAsia="Times New Roman" w:hAnsi="Times New Roman" w:cs="Times New Roman"/>
                <w:noProof/>
              </w:rPr>
              <w:drawing>
                <wp:inline distT="0" distB="0" distL="0" distR="0" wp14:anchorId="74F10566" wp14:editId="74F10567">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6F3F0B" w14:paraId="74F10544" w14:textId="77777777">
        <w:tc>
          <w:tcPr>
            <w:tcW w:w="9458" w:type="dxa"/>
            <w:shd w:val="clear" w:color="auto" w:fill="auto"/>
          </w:tcPr>
          <w:p w14:paraId="74F10543" w14:textId="77777777" w:rsidR="006F3F0B" w:rsidRDefault="006455F1">
            <w:pPr>
              <w:spacing w:after="0" w:line="240" w:lineRule="auto"/>
              <w:jc w:val="center"/>
            </w:pPr>
            <w:r>
              <w:rPr>
                <w:rFonts w:ascii="Times New Roman" w:eastAsia="Times New Roman" w:hAnsi="Times New Roman" w:cs="Times New Roman"/>
                <w:b/>
                <w:sz w:val="28"/>
                <w:szCs w:val="28"/>
              </w:rPr>
              <w:t>GULBENES NOVADA PAŠVALDĪBA</w:t>
            </w:r>
          </w:p>
        </w:tc>
      </w:tr>
      <w:tr w:rsidR="006F3F0B" w14:paraId="74F10546" w14:textId="77777777">
        <w:tc>
          <w:tcPr>
            <w:tcW w:w="9458" w:type="dxa"/>
            <w:shd w:val="clear" w:color="auto" w:fill="auto"/>
          </w:tcPr>
          <w:p w14:paraId="74F10545" w14:textId="77777777" w:rsidR="006F3F0B" w:rsidRDefault="006455F1">
            <w:pPr>
              <w:spacing w:after="0" w:line="240" w:lineRule="auto"/>
              <w:jc w:val="center"/>
            </w:pPr>
            <w:r>
              <w:rPr>
                <w:rFonts w:ascii="Times New Roman" w:eastAsia="Times New Roman" w:hAnsi="Times New Roman" w:cs="Times New Roman"/>
                <w:sz w:val="24"/>
                <w:szCs w:val="24"/>
              </w:rPr>
              <w:t>Reģ.Nr.90009116327</w:t>
            </w:r>
          </w:p>
        </w:tc>
      </w:tr>
      <w:tr w:rsidR="006F3F0B" w14:paraId="74F10548" w14:textId="77777777">
        <w:tc>
          <w:tcPr>
            <w:tcW w:w="9458" w:type="dxa"/>
            <w:shd w:val="clear" w:color="auto" w:fill="auto"/>
          </w:tcPr>
          <w:p w14:paraId="74F10547" w14:textId="77777777" w:rsidR="006F3F0B" w:rsidRDefault="006455F1">
            <w:pPr>
              <w:spacing w:after="0" w:line="240" w:lineRule="auto"/>
              <w:jc w:val="center"/>
            </w:pPr>
            <w:r>
              <w:rPr>
                <w:rFonts w:ascii="Times New Roman" w:eastAsia="Times New Roman" w:hAnsi="Times New Roman" w:cs="Times New Roman"/>
                <w:sz w:val="24"/>
                <w:szCs w:val="24"/>
              </w:rPr>
              <w:t>Ābeļu iela 2, Gulbene, Gulbenes nov., LV-4401</w:t>
            </w:r>
          </w:p>
        </w:tc>
      </w:tr>
      <w:tr w:rsidR="006F3F0B" w14:paraId="74F1054A" w14:textId="77777777">
        <w:tc>
          <w:tcPr>
            <w:tcW w:w="9458" w:type="dxa"/>
            <w:shd w:val="clear" w:color="auto" w:fill="auto"/>
          </w:tcPr>
          <w:p w14:paraId="74F10549" w14:textId="77777777" w:rsidR="006F3F0B" w:rsidRDefault="006455F1">
            <w:pPr>
              <w:spacing w:after="0" w:line="240" w:lineRule="auto"/>
              <w:jc w:val="center"/>
            </w:pPr>
            <w:r>
              <w:rPr>
                <w:rFonts w:ascii="Times New Roman" w:eastAsia="Times New Roman" w:hAnsi="Times New Roman" w:cs="Times New Roman"/>
                <w:sz w:val="24"/>
                <w:szCs w:val="24"/>
              </w:rPr>
              <w:t>Tālrunis 64497710, mob.26595362, e-pasts; dome@gulbene.lv, www.gulbene.lv</w:t>
            </w:r>
          </w:p>
        </w:tc>
      </w:tr>
    </w:tbl>
    <w:p w14:paraId="74F1054B" w14:textId="77777777" w:rsidR="006F3F0B" w:rsidRDefault="006455F1">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 DOMES LĒMUMS</w:t>
      </w:r>
    </w:p>
    <w:p w14:paraId="74F1054C" w14:textId="77777777" w:rsidR="006F3F0B" w:rsidRDefault="006455F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Gulbenē</w:t>
      </w:r>
    </w:p>
    <w:p w14:paraId="74F1054D" w14:textId="77777777" w:rsidR="006F3F0B" w:rsidRDefault="006F3F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2"/>
        <w:tblW w:w="9458" w:type="dxa"/>
        <w:tblInd w:w="0" w:type="dxa"/>
        <w:tblLayout w:type="fixed"/>
        <w:tblLook w:val="0400" w:firstRow="0" w:lastRow="0" w:firstColumn="0" w:lastColumn="0" w:noHBand="0" w:noVBand="1"/>
      </w:tblPr>
      <w:tblGrid>
        <w:gridCol w:w="4729"/>
        <w:gridCol w:w="4729"/>
      </w:tblGrid>
      <w:tr w:rsidR="006F3F0B" w14:paraId="74F10550" w14:textId="77777777">
        <w:tc>
          <w:tcPr>
            <w:tcW w:w="4729" w:type="dxa"/>
            <w:shd w:val="clear" w:color="auto" w:fill="auto"/>
          </w:tcPr>
          <w:p w14:paraId="74F1054E" w14:textId="7FBF20DA"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2025.gada 24.aprīlī</w:t>
            </w:r>
          </w:p>
        </w:tc>
        <w:tc>
          <w:tcPr>
            <w:tcW w:w="4729" w:type="dxa"/>
            <w:shd w:val="clear" w:color="auto" w:fill="auto"/>
          </w:tcPr>
          <w:p w14:paraId="74F1054F" w14:textId="4EB0C7FE"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GND/2025/312</w:t>
            </w:r>
          </w:p>
        </w:tc>
      </w:tr>
      <w:tr w:rsidR="006F3F0B" w14:paraId="74F10553" w14:textId="77777777">
        <w:tc>
          <w:tcPr>
            <w:tcW w:w="4729" w:type="dxa"/>
            <w:shd w:val="clear" w:color="auto" w:fill="auto"/>
          </w:tcPr>
          <w:p w14:paraId="74F10551" w14:textId="77777777" w:rsidR="006F3F0B" w:rsidRDefault="006F3F0B">
            <w:pPr>
              <w:spacing w:after="0" w:line="240" w:lineRule="auto"/>
              <w:rPr>
                <w:rFonts w:ascii="Times New Roman" w:eastAsia="Times New Roman" w:hAnsi="Times New Roman" w:cs="Times New Roman"/>
                <w:sz w:val="24"/>
                <w:szCs w:val="24"/>
              </w:rPr>
            </w:pPr>
          </w:p>
        </w:tc>
        <w:tc>
          <w:tcPr>
            <w:tcW w:w="4729" w:type="dxa"/>
            <w:shd w:val="clear" w:color="auto" w:fill="auto"/>
          </w:tcPr>
          <w:p w14:paraId="74F10552" w14:textId="30875CDB"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(protokols Nr.10; 59.p. )</w:t>
            </w:r>
          </w:p>
        </w:tc>
      </w:tr>
    </w:tbl>
    <w:p w14:paraId="74F10554" w14:textId="77777777" w:rsidR="006F3F0B" w:rsidRPr="006455F1" w:rsidRDefault="006F3F0B">
      <w:pPr>
        <w:spacing w:after="0" w:line="480" w:lineRule="auto"/>
        <w:rPr>
          <w:rFonts w:ascii="Times New Roman" w:eastAsia="Times New Roman" w:hAnsi="Times New Roman" w:cs="Times New Roman"/>
          <w:sz w:val="6"/>
          <w:szCs w:val="6"/>
        </w:rPr>
      </w:pPr>
    </w:p>
    <w:p w14:paraId="74F10555" w14:textId="77777777" w:rsidR="006F3F0B" w:rsidRDefault="006455F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novada pašvaldības 2024.gada gada pārskata apstiprināšanu</w:t>
      </w:r>
    </w:p>
    <w:p w14:paraId="74F10556" w14:textId="459E3B52" w:rsidR="006F3F0B" w:rsidRDefault="006455F1">
      <w:pPr>
        <w:spacing w:after="0" w:line="360" w:lineRule="auto"/>
        <w:ind w:firstLine="567"/>
        <w:jc w:val="both"/>
        <w:rPr>
          <w:rFonts w:ascii="Times New Roman" w:eastAsia="Times New Roman" w:hAnsi="Times New Roman" w:cs="Times New Roman"/>
          <w:color w:val="414142"/>
          <w:sz w:val="24"/>
          <w:szCs w:val="24"/>
          <w:highlight w:val="white"/>
        </w:rPr>
      </w:pPr>
      <w:bookmarkStart w:id="0" w:name="_heading=h.9xeeot4q2aq7" w:colFirst="0" w:colLast="0"/>
      <w:bookmarkEnd w:id="0"/>
      <w:r>
        <w:rPr>
          <w:rFonts w:ascii="Times New Roman" w:eastAsia="Times New Roman" w:hAnsi="Times New Roman" w:cs="Times New Roman"/>
          <w:sz w:val="24"/>
          <w:szCs w:val="24"/>
        </w:rPr>
        <w:t xml:space="preserve">Gulbenes novada pašvaldības dome izskata Gulbenes novada pašvaldības Centrālās pārvaldes Finanšu nodaļas sagatavoto Gulbenes novada pašvaldības 2024.gada pārskatu. Pamatojoties uz Pašvaldību likuma 10.panta pirmās daļas 2.punktu, kas nosaka, ka domes kompetencē ir apstiprināt pašvaldības gada pārskatu, 74.panta pirmo daļu, kas nosaka, ka </w:t>
      </w:r>
      <w:r>
        <w:rPr>
          <w:rFonts w:ascii="Times New Roman" w:eastAsia="Times New Roman" w:hAnsi="Times New Roman" w:cs="Times New Roman"/>
          <w:sz w:val="24"/>
          <w:szCs w:val="24"/>
          <w:highlight w:val="white"/>
        </w:rPr>
        <w:t>dome nodrošina pašvaldības gada pārskata, konsolidētā gada pārskata un gada publiskā pārskata sagatavošanu un pieejamību atbilstoši ārējo normatīvo aktu prasībām un</w:t>
      </w:r>
      <w:r>
        <w:rPr>
          <w:rFonts w:ascii="Times New Roman" w:eastAsia="Times New Roman" w:hAnsi="Times New Roman" w:cs="Times New Roman"/>
          <w:sz w:val="24"/>
          <w:szCs w:val="24"/>
        </w:rPr>
        <w:t xml:space="preserve"> likuma “Par budžetu un finanšu vadību” 30.panta pirmo daļu un 43.panta pirmo un otro daļu, Ministru kabineta 2021.gada 28.septembra noteikumiem Nr. 652 “Gada pārskata sagatavošanas kārtība” un Finanšu komitejas ieteikumu, atklāti balsojot: </w:t>
      </w:r>
      <w:r w:rsidRPr="0016506D">
        <w:rPr>
          <w:noProof/>
        </w:rPr>
        <w:t xml:space="preserve">ar 13 </w:t>
      </w:r>
      <w:r w:rsidRPr="006455F1">
        <w:rPr>
          <w:rFonts w:ascii="Times New Roman" w:hAnsi="Times New Roman" w:cs="Times New Roman"/>
          <w:noProof/>
          <w:sz w:val="24"/>
          <w:szCs w:val="24"/>
        </w:rPr>
        <w:t>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sidRPr="006455F1">
        <w:rPr>
          <w:rFonts w:ascii="Times New Roman" w:eastAsia="Times New Roman" w:hAnsi="Times New Roman" w:cs="Times New Roman"/>
          <w:sz w:val="24"/>
          <w:szCs w:val="24"/>
        </w:rPr>
        <w:t>, Gulbenes novada pašvaldības</w:t>
      </w:r>
      <w:r>
        <w:rPr>
          <w:rFonts w:ascii="Times New Roman" w:eastAsia="Times New Roman" w:hAnsi="Times New Roman" w:cs="Times New Roman"/>
          <w:sz w:val="24"/>
          <w:szCs w:val="24"/>
        </w:rPr>
        <w:t xml:space="preserve"> dome NOLEMJ:</w:t>
      </w:r>
    </w:p>
    <w:p w14:paraId="74F10557" w14:textId="77777777" w:rsidR="006F3F0B" w:rsidRDefault="006455F1">
      <w:pPr>
        <w:numPr>
          <w:ilvl w:val="0"/>
          <w:numId w:val="1"/>
        </w:num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Gulbenes novada pašvaldības 2024.gada pārskatu, tajā skaitā:</w:t>
      </w:r>
    </w:p>
    <w:p w14:paraId="74F10558"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bilances kopsumma uz 2024.gada 31.decembri 93 171 270 EUR;</w:t>
      </w:r>
    </w:p>
    <w:p w14:paraId="74F10559"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pārskata gada budžeta izpildes rezultātu 422 375 EUR;</w:t>
      </w:r>
    </w:p>
    <w:p w14:paraId="74F1055A"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kopējo naudas līdzekļu atlikumu uz pārskata gada beigām 6 121 958 EUR.</w:t>
      </w:r>
    </w:p>
    <w:p w14:paraId="74F1055B" w14:textId="77777777" w:rsidR="006F3F0B" w:rsidRDefault="006455F1">
      <w:pPr>
        <w:numPr>
          <w:ilvl w:val="0"/>
          <w:numId w:val="1"/>
        </w:num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Lēmums stājas spēkā ar tā pieņemšanas brīdi.</w:t>
      </w:r>
    </w:p>
    <w:p w14:paraId="74F1055C" w14:textId="77777777" w:rsidR="006F3F0B" w:rsidRDefault="006455F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74F1055D"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2024.gada pārskats uz 200 lappusēm;</w:t>
      </w:r>
    </w:p>
    <w:p w14:paraId="74F1055E"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ziņojums uz 4 lappusēm;</w:t>
      </w:r>
    </w:p>
    <w:p w14:paraId="74F1055F"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Gada pārskata sagatavošanas principu apraksts uz 12 lappusēm;</w:t>
      </w:r>
    </w:p>
    <w:p w14:paraId="74F10560"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Grāmatvedības uzskaites principu apraksts uz  21 lappusēm;</w:t>
      </w:r>
    </w:p>
    <w:p w14:paraId="74F10561"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Budžeta izpildes pārskata  skaidrojums uz 11 lappusēm;</w:t>
      </w:r>
    </w:p>
    <w:p w14:paraId="74F10562"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instrumentu risku pārvaldīšanas apraksts uz 2 lappusēm;</w:t>
      </w:r>
    </w:p>
    <w:p w14:paraId="74F10563"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Neatkarīgu  revidentu ziņojums uz 3 lappusēm.</w:t>
      </w:r>
    </w:p>
    <w:p w14:paraId="74F10564" w14:textId="77777777" w:rsidR="006F3F0B" w:rsidRPr="006455F1" w:rsidRDefault="006F3F0B">
      <w:pPr>
        <w:spacing w:after="0" w:line="360" w:lineRule="auto"/>
        <w:ind w:left="567"/>
        <w:jc w:val="both"/>
        <w:rPr>
          <w:rFonts w:ascii="Times New Roman" w:eastAsia="Times New Roman" w:hAnsi="Times New Roman" w:cs="Times New Roman"/>
          <w:sz w:val="8"/>
          <w:szCs w:val="8"/>
        </w:rPr>
      </w:pPr>
    </w:p>
    <w:p w14:paraId="74F10565" w14:textId="77777777" w:rsidR="006F3F0B" w:rsidRDefault="006455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Caunītis</w:t>
      </w:r>
    </w:p>
    <w:sectPr w:rsidR="006F3F0B" w:rsidSect="006455F1">
      <w:pgSz w:w="11906" w:h="16838"/>
      <w:pgMar w:top="851" w:right="851" w:bottom="28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638A7216"/>
    <w:multiLevelType w:val="multilevel"/>
    <w:tmpl w:val="1B4456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133666521">
    <w:abstractNumId w:val="0"/>
  </w:num>
  <w:num w:numId="2" w16cid:durableId="181957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0B"/>
    <w:rsid w:val="00082A39"/>
    <w:rsid w:val="006455F1"/>
    <w:rsid w:val="006F3F0B"/>
    <w:rsid w:val="009B52CC"/>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0540"/>
  <w15:docId w15:val="{12BA273D-A7D2-4008-989A-1929551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dSLx0XhjjkcAh6+y2/KUpZckw==">CgMxLjAyDmguOXhlZW90NHEyYXE3OAByITFjUXhqb19BTXpQdF8tcUJpdENkMXhuYkdvRDVtSGxzSg==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Characters>
  <Application>Microsoft Office Word</Application>
  <DocSecurity>0</DocSecurity>
  <Lines>6</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2025-04-28T06:32:00Z</cp:lastPrinted>
  <dcterms:created xsi:type="dcterms:W3CDTF">2025-06-17T11:55:00Z</dcterms:created>
  <dcterms:modified xsi:type="dcterms:W3CDTF">2025-06-17T11:55:00Z</dcterms:modified>
</cp:coreProperties>
</file>