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37FC" w:rsidRDefault="00000000">
      <w:pPr>
        <w:pBdr>
          <w:top w:val="nil"/>
          <w:left w:val="nil"/>
          <w:bottom w:val="nil"/>
          <w:right w:val="nil"/>
          <w:between w:val="nil"/>
        </w:pBdr>
        <w:spacing w:after="0" w:line="240" w:lineRule="auto"/>
        <w:jc w:val="both"/>
        <w:rPr>
          <w:rFonts w:ascii="Arial" w:eastAsia="Arial" w:hAnsi="Arial" w:cs="Arial"/>
        </w:rPr>
      </w:pPr>
      <w:r>
        <w:rPr>
          <w:noProof/>
        </w:rPr>
        <w:drawing>
          <wp:anchor distT="0" distB="0" distL="0" distR="0" simplePos="0" relativeHeight="251658240" behindDoc="0" locked="0" layoutInCell="1" hidden="0" allowOverlap="1">
            <wp:simplePos x="0" y="0"/>
            <wp:positionH relativeFrom="column">
              <wp:posOffset>2660178</wp:posOffset>
            </wp:positionH>
            <wp:positionV relativeFrom="paragraph">
              <wp:posOffset>0</wp:posOffset>
            </wp:positionV>
            <wp:extent cx="620395" cy="683895"/>
            <wp:effectExtent l="0" t="0" r="0" b="0"/>
            <wp:wrapSquare wrapText="bothSides" distT="0" distB="0" distL="0" distR="0"/>
            <wp:docPr id="9"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20395" cy="683895"/>
                    </a:xfrm>
                    <a:prstGeom prst="rect">
                      <a:avLst/>
                    </a:prstGeom>
                    <a:ln/>
                  </pic:spPr>
                </pic:pic>
              </a:graphicData>
            </a:graphic>
          </wp:anchor>
        </w:drawing>
      </w:r>
    </w:p>
    <w:p w:rsidR="008637FC" w:rsidRDefault="008637FC">
      <w:pPr>
        <w:pBdr>
          <w:top w:val="nil"/>
          <w:left w:val="nil"/>
          <w:bottom w:val="nil"/>
          <w:right w:val="nil"/>
          <w:between w:val="nil"/>
        </w:pBdr>
        <w:spacing w:after="0" w:line="240" w:lineRule="auto"/>
        <w:jc w:val="both"/>
        <w:rPr>
          <w:rFonts w:ascii="Arial" w:eastAsia="Arial" w:hAnsi="Arial" w:cs="Arial"/>
        </w:rPr>
      </w:pPr>
    </w:p>
    <w:p w:rsidR="008637FC" w:rsidRDefault="008637FC">
      <w:pPr>
        <w:pBdr>
          <w:top w:val="nil"/>
          <w:left w:val="nil"/>
          <w:bottom w:val="nil"/>
          <w:right w:val="nil"/>
          <w:between w:val="nil"/>
        </w:pBdr>
        <w:spacing w:after="0" w:line="240" w:lineRule="auto"/>
        <w:jc w:val="both"/>
        <w:rPr>
          <w:rFonts w:ascii="Arial" w:eastAsia="Arial" w:hAnsi="Arial" w:cs="Arial"/>
        </w:rPr>
      </w:pPr>
    </w:p>
    <w:p w:rsidR="008637FC" w:rsidRDefault="008637FC">
      <w:pPr>
        <w:pBdr>
          <w:top w:val="nil"/>
          <w:left w:val="nil"/>
          <w:bottom w:val="nil"/>
          <w:right w:val="nil"/>
          <w:between w:val="nil"/>
        </w:pBdr>
        <w:spacing w:after="0" w:line="240" w:lineRule="auto"/>
        <w:jc w:val="both"/>
        <w:rPr>
          <w:rFonts w:ascii="Arial" w:eastAsia="Arial" w:hAnsi="Arial" w:cs="Arial"/>
        </w:rPr>
      </w:pPr>
    </w:p>
    <w:tbl>
      <w:tblPr>
        <w:tblStyle w:val="a9"/>
        <w:tblW w:w="9360" w:type="dxa"/>
        <w:tblLayout w:type="fixed"/>
        <w:tblLook w:val="0000" w:firstRow="0" w:lastRow="0" w:firstColumn="0" w:lastColumn="0" w:noHBand="0" w:noVBand="0"/>
      </w:tblPr>
      <w:tblGrid>
        <w:gridCol w:w="9360"/>
      </w:tblGrid>
      <w:tr w:rsidR="008637FC">
        <w:tc>
          <w:tcPr>
            <w:tcW w:w="9360" w:type="dxa"/>
            <w:tcBorders>
              <w:top w:val="nil"/>
              <w:left w:val="nil"/>
              <w:bottom w:val="nil"/>
              <w:right w:val="nil"/>
            </w:tcBorders>
          </w:tcPr>
          <w:p w:rsidR="008637FC"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GULBENES NOVADA PAŠVALDĪBAS</w:t>
            </w:r>
          </w:p>
        </w:tc>
      </w:tr>
      <w:tr w:rsidR="008637FC">
        <w:tc>
          <w:tcPr>
            <w:tcW w:w="9360" w:type="dxa"/>
            <w:tcBorders>
              <w:top w:val="nil"/>
              <w:left w:val="nil"/>
              <w:bottom w:val="nil"/>
              <w:right w:val="nil"/>
            </w:tcBorders>
          </w:tcPr>
          <w:p w:rsidR="008637FC"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KULTŪRAS KOMISIJA</w:t>
            </w:r>
          </w:p>
        </w:tc>
      </w:tr>
      <w:tr w:rsidR="008637FC">
        <w:tc>
          <w:tcPr>
            <w:tcW w:w="9360" w:type="dxa"/>
          </w:tcPr>
          <w:p w:rsidR="008637F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8637FC">
        <w:tc>
          <w:tcPr>
            <w:tcW w:w="9360" w:type="dxa"/>
          </w:tcPr>
          <w:p w:rsidR="008637FC" w:rsidRDefault="00000000">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29477941, e-pasts: kulturas.komisija@gulbene.lv, www.gulbene.lv</w:t>
            </w:r>
          </w:p>
          <w:p w:rsidR="008637FC" w:rsidRDefault="008637FC">
            <w:pPr>
              <w:spacing w:after="0" w:line="240" w:lineRule="auto"/>
              <w:jc w:val="center"/>
              <w:rPr>
                <w:rFonts w:ascii="Times New Roman" w:eastAsia="Times New Roman" w:hAnsi="Times New Roman" w:cs="Times New Roman"/>
                <w:b/>
                <w:sz w:val="24"/>
                <w:szCs w:val="24"/>
              </w:rPr>
            </w:pPr>
          </w:p>
          <w:p w:rsidR="008637F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KOMISIJAS SĒDES</w:t>
            </w:r>
          </w:p>
          <w:p w:rsidR="008637F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PROTOKOLS </w:t>
            </w:r>
          </w:p>
        </w:tc>
      </w:tr>
    </w:tbl>
    <w:p w:rsidR="008637F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gada 27. jūnijs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4</w:t>
      </w:r>
    </w:p>
    <w:p w:rsidR="008637FC" w:rsidRDefault="008637FC">
      <w:pPr>
        <w:spacing w:after="0" w:line="240" w:lineRule="auto"/>
        <w:jc w:val="both"/>
        <w:rPr>
          <w:rFonts w:ascii="Times New Roman" w:eastAsia="Times New Roman" w:hAnsi="Times New Roman" w:cs="Times New Roman"/>
          <w:b/>
          <w:sz w:val="24"/>
          <w:szCs w:val="24"/>
        </w:rPr>
      </w:pP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Sēde sasaukta: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plkst. 10:00, Gulbenes Mākslas skolā</w:t>
      </w:r>
    </w:p>
    <w:p w:rsidR="008637FC" w:rsidRDefault="00000000">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Sēdi atklāj</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plkst. 10:00</w:t>
      </w:r>
      <w:r>
        <w:rPr>
          <w:rFonts w:ascii="Times New Roman" w:eastAsia="Times New Roman" w:hAnsi="Times New Roman" w:cs="Times New Roman"/>
          <w:sz w:val="24"/>
          <w:szCs w:val="24"/>
          <w:u w:val="single"/>
        </w:rPr>
        <w:t xml:space="preserve"> </w:t>
      </w: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Sēdi vada</w:t>
      </w:r>
      <w:r>
        <w:rPr>
          <w:rFonts w:ascii="Times New Roman" w:eastAsia="Times New Roman" w:hAnsi="Times New Roman" w:cs="Times New Roman"/>
          <w:sz w:val="24"/>
          <w:szCs w:val="24"/>
        </w:rPr>
        <w:t xml:space="preserve">: Kultūras komisijas priekšsēdētāja Sandra </w:t>
      </w:r>
      <w:proofErr w:type="spellStart"/>
      <w:r>
        <w:rPr>
          <w:rFonts w:ascii="Times New Roman" w:eastAsia="Times New Roman" w:hAnsi="Times New Roman" w:cs="Times New Roman"/>
          <w:sz w:val="24"/>
          <w:szCs w:val="24"/>
        </w:rPr>
        <w:t>Dikmane</w:t>
      </w:r>
      <w:proofErr w:type="spellEnd"/>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protokolē</w:t>
      </w:r>
      <w:r>
        <w:rPr>
          <w:rFonts w:ascii="Times New Roman" w:eastAsia="Times New Roman" w:hAnsi="Times New Roman" w:cs="Times New Roman"/>
          <w:sz w:val="24"/>
          <w:szCs w:val="24"/>
        </w:rPr>
        <w:t xml:space="preserve">: Kultūras komisijas sekretāre Dārta </w:t>
      </w:r>
      <w:proofErr w:type="spellStart"/>
      <w:r>
        <w:rPr>
          <w:rFonts w:ascii="Times New Roman" w:eastAsia="Times New Roman" w:hAnsi="Times New Roman" w:cs="Times New Roman"/>
          <w:sz w:val="24"/>
          <w:szCs w:val="24"/>
        </w:rPr>
        <w:t>Vilne</w:t>
      </w:r>
      <w:proofErr w:type="spellEnd"/>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piedalās komisijas locekļi</w:t>
      </w:r>
      <w:r>
        <w:rPr>
          <w:rFonts w:ascii="Times New Roman" w:eastAsia="Times New Roman" w:hAnsi="Times New Roman" w:cs="Times New Roman"/>
          <w:sz w:val="24"/>
          <w:szCs w:val="24"/>
        </w:rPr>
        <w:t xml:space="preserve">: Sarmīte Zdanovska, Ainārs </w:t>
      </w:r>
      <w:proofErr w:type="spellStart"/>
      <w:r>
        <w:rPr>
          <w:rFonts w:ascii="Times New Roman" w:eastAsia="Times New Roman" w:hAnsi="Times New Roman" w:cs="Times New Roman"/>
          <w:sz w:val="24"/>
          <w:szCs w:val="24"/>
        </w:rPr>
        <w:t>Brezinskis</w:t>
      </w:r>
      <w:proofErr w:type="spellEnd"/>
      <w:r>
        <w:rPr>
          <w:rFonts w:ascii="Times New Roman" w:eastAsia="Times New Roman" w:hAnsi="Times New Roman" w:cs="Times New Roman"/>
          <w:sz w:val="24"/>
          <w:szCs w:val="24"/>
        </w:rPr>
        <w:t xml:space="preserve">, Sabīne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xml:space="preserve">, Valda Dārgais, Raitis </w:t>
      </w:r>
      <w:proofErr w:type="spellStart"/>
      <w:r>
        <w:rPr>
          <w:rFonts w:ascii="Times New Roman" w:eastAsia="Times New Roman" w:hAnsi="Times New Roman" w:cs="Times New Roman"/>
          <w:sz w:val="24"/>
          <w:szCs w:val="24"/>
        </w:rPr>
        <w:t>Melders</w:t>
      </w:r>
      <w:proofErr w:type="spellEnd"/>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nepiedalās komisijas locekļi</w:t>
      </w:r>
      <w:r>
        <w:rPr>
          <w:rFonts w:ascii="Times New Roman" w:eastAsia="Times New Roman" w:hAnsi="Times New Roman" w:cs="Times New Roman"/>
          <w:sz w:val="24"/>
          <w:szCs w:val="24"/>
        </w:rPr>
        <w:t>: Sandra Āre</w:t>
      </w: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pieaicināti</w:t>
      </w:r>
      <w:r>
        <w:rPr>
          <w:rFonts w:ascii="Times New Roman" w:eastAsia="Times New Roman" w:hAnsi="Times New Roman" w:cs="Times New Roman"/>
          <w:sz w:val="24"/>
          <w:szCs w:val="24"/>
        </w:rPr>
        <w:t>: Nav</w:t>
      </w:r>
    </w:p>
    <w:p w:rsidR="008637FC" w:rsidRDefault="008637FC">
      <w:pPr>
        <w:spacing w:after="0" w:line="240" w:lineRule="auto"/>
        <w:jc w:val="both"/>
        <w:rPr>
          <w:rFonts w:ascii="Times New Roman" w:eastAsia="Times New Roman" w:hAnsi="Times New Roman" w:cs="Times New Roman"/>
          <w:b/>
          <w:sz w:val="24"/>
          <w:szCs w:val="24"/>
        </w:rPr>
      </w:pP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6</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R.Melders</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V. Dārgais</w:t>
      </w:r>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APSTIPRINĀT</w:t>
      </w:r>
      <w:r>
        <w:rPr>
          <w:rFonts w:ascii="Times New Roman" w:eastAsia="Times New Roman" w:hAnsi="Times New Roman" w:cs="Times New Roman"/>
          <w:b/>
          <w:sz w:val="24"/>
          <w:szCs w:val="24"/>
        </w:rPr>
        <w:t xml:space="preserve"> 2025. gada 27. jūnija </w:t>
      </w:r>
      <w:r>
        <w:rPr>
          <w:rFonts w:ascii="Times New Roman" w:eastAsia="Times New Roman" w:hAnsi="Times New Roman" w:cs="Times New Roman"/>
          <w:sz w:val="24"/>
          <w:szCs w:val="24"/>
        </w:rPr>
        <w:t>Gulbenes novada pašvaldības Kultūras komisijas darba kārtību.</w:t>
      </w:r>
    </w:p>
    <w:p w:rsidR="008637FC" w:rsidRDefault="00000000">
      <w:pPr>
        <w:numPr>
          <w:ilvl w:val="0"/>
          <w:numId w:val="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 iesnieguma izskatīšanu;</w:t>
      </w:r>
    </w:p>
    <w:p w:rsidR="008637FC" w:rsidRDefault="00000000">
      <w:pPr>
        <w:numPr>
          <w:ilvl w:val="0"/>
          <w:numId w:val="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Iesnieguma “Par līdzfinansējuma piešķiršanu deju konkursa braucienam Gulbenes iedzīvotājai  [...]” izskatīšanu.</w:t>
      </w:r>
    </w:p>
    <w:p w:rsidR="008637FC" w:rsidRDefault="008637FC">
      <w:pPr>
        <w:spacing w:after="0" w:line="240" w:lineRule="auto"/>
        <w:jc w:val="both"/>
        <w:rPr>
          <w:rFonts w:ascii="Times New Roman" w:eastAsia="Times New Roman" w:hAnsi="Times New Roman" w:cs="Times New Roman"/>
          <w:b/>
          <w:sz w:val="24"/>
          <w:szCs w:val="24"/>
        </w:rPr>
      </w:pPr>
    </w:p>
    <w:p w:rsidR="008637FC"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rsidR="008637FC"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  [...]  iesnieguma izskatīšanu </w:t>
      </w: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rsidR="008637FC"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 iesniegumu (23.05.2025. Nr. GND/5.15.1/25/1204) par finansiālu atbalstu EUR 1000,00 apmērā ar mērķi izdot grāmatu “Sudala ceļš”. Iesniegums izskatīts Kultūras komisijas 2025.gada 27.maija sēdē Nr.3, 1.§, kur secināts, ka trūkst pilnas informācijas par grāmatas ideju, saturu, mērķiem un autoriem, lai iesniegumu pilnvērtīgi izskatītu un pieņemtu lēmumu. Iesnieguma autorei tika lūgts sniegt Kultūras komisijai papildus informāciju, kas arī ticis izdarīts 2025.gada 8.jūnijā. </w:t>
      </w:r>
    </w:p>
    <w:p w:rsidR="008637FC" w:rsidRDefault="008637FC">
      <w:pPr>
        <w:spacing w:after="0" w:line="240" w:lineRule="auto"/>
        <w:ind w:firstLine="720"/>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 locekļi uzteic grāmatas ideju par novada vietējās tematikas akcentēšanu un autoru līdz šim ieguldīto darbu. Taču Kultūras komisijas 2025. gada finansējums ir ļoti ierobežots, līdz ar to nav iespēja atbalstīt grāmatas izdošanu pilnā lūgtajā apmērā. Tiek izskatīta iespēja sniegt vismaz daļēju atbalstu 400,00 EUR  apmērā. Pārējie piekrīt. </w:t>
      </w: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 </w:t>
      </w:r>
      <w:r>
        <w:rPr>
          <w:rFonts w:ascii="Times New Roman" w:eastAsia="Times New Roman" w:hAnsi="Times New Roman" w:cs="Times New Roman"/>
          <w:color w:val="1A1A1A"/>
          <w:sz w:val="24"/>
          <w:szCs w:val="24"/>
          <w:u w:val="single"/>
        </w:rPr>
        <w:t>6</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sz w:val="24"/>
          <w:szCs w:val="24"/>
        </w:rPr>
        <w:t>R.Melders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A.Brezinskis</w:t>
      </w:r>
      <w:proofErr w:type="spellEnd"/>
      <w:r>
        <w:rPr>
          <w:rFonts w:ascii="Times New Roman" w:eastAsia="Times New Roman" w:hAnsi="Times New Roman" w:cs="Times New Roman"/>
          <w:sz w:val="24"/>
          <w:szCs w:val="24"/>
        </w:rPr>
        <w:t>, V. Dārgais</w:t>
      </w:r>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rsidR="008637FC"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ATBALSTĪT </w:t>
      </w:r>
      <w:r>
        <w:rPr>
          <w:rFonts w:ascii="Times New Roman" w:eastAsia="Times New Roman" w:hAnsi="Times New Roman" w:cs="Times New Roman"/>
          <w:sz w:val="24"/>
          <w:szCs w:val="24"/>
        </w:rPr>
        <w:t xml:space="preserve">Baibas </w:t>
      </w:r>
      <w:proofErr w:type="spellStart"/>
      <w:r>
        <w:rPr>
          <w:rFonts w:ascii="Times New Roman" w:eastAsia="Times New Roman" w:hAnsi="Times New Roman" w:cs="Times New Roman"/>
          <w:sz w:val="24"/>
          <w:szCs w:val="24"/>
        </w:rPr>
        <w:t>Berkoldes</w:t>
      </w:r>
      <w:proofErr w:type="spellEnd"/>
      <w:r>
        <w:rPr>
          <w:rFonts w:ascii="Times New Roman" w:eastAsia="Times New Roman" w:hAnsi="Times New Roman" w:cs="Times New Roman"/>
          <w:sz w:val="24"/>
          <w:szCs w:val="24"/>
        </w:rPr>
        <w:t xml:space="preserve"> grāmatas “Sudala ceļš” izdošanu EUR 400,00 apmērā. </w:t>
      </w:r>
    </w:p>
    <w:p w:rsidR="008637FC"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Dārtai </w:t>
      </w:r>
      <w:proofErr w:type="spellStart"/>
      <w:r>
        <w:rPr>
          <w:rFonts w:ascii="Times New Roman" w:eastAsia="Times New Roman" w:hAnsi="Times New Roman" w:cs="Times New Roman"/>
          <w:sz w:val="24"/>
          <w:szCs w:val="24"/>
        </w:rPr>
        <w:t>Vilnei</w:t>
      </w:r>
      <w:proofErr w:type="spellEnd"/>
      <w:r>
        <w:rPr>
          <w:rFonts w:ascii="Times New Roman" w:eastAsia="Times New Roman" w:hAnsi="Times New Roman" w:cs="Times New Roman"/>
          <w:sz w:val="24"/>
          <w:szCs w:val="24"/>
        </w:rPr>
        <w:t xml:space="preserve">  organizēt izraksta nosūtīšanu pa pastu uz adresi  [...] un uz e-pastu [...].</w:t>
      </w:r>
    </w:p>
    <w:p w:rsidR="008637FC" w:rsidRDefault="008637FC">
      <w:pPr>
        <w:spacing w:after="0" w:line="240" w:lineRule="auto"/>
        <w:ind w:left="720"/>
        <w:jc w:val="both"/>
        <w:rPr>
          <w:rFonts w:ascii="Times New Roman" w:eastAsia="Times New Roman" w:hAnsi="Times New Roman" w:cs="Times New Roman"/>
          <w:sz w:val="24"/>
          <w:szCs w:val="24"/>
        </w:rPr>
      </w:pP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p w:rsidR="008637F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Iesnieguma “Par līdzfinansējuma piešķiršanu deju konkursa braucienam Gulbenes iedzīvotājai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izskatīšanu</w:t>
      </w:r>
    </w:p>
    <w:p w:rsidR="008637FC" w:rsidRDefault="008637FC">
      <w:pPr>
        <w:pBdr>
          <w:bottom w:val="single" w:sz="12" w:space="1" w:color="000000"/>
        </w:pBdr>
        <w:spacing w:after="0" w:line="240" w:lineRule="auto"/>
        <w:rPr>
          <w:rFonts w:ascii="Times New Roman" w:eastAsia="Times New Roman" w:hAnsi="Times New Roman" w:cs="Times New Roman"/>
          <w:b/>
          <w:sz w:val="24"/>
          <w:szCs w:val="24"/>
        </w:rPr>
      </w:pP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Kultūras komisija ir saņēmusi [...] iesniegumu (13.06.2025. Nr. GND/5.15.1/25/1368-D) par līdzfinansējumu 3000,00 EUR apmērā deju kolektīva dalībnieces [...] braucienam uz prestižo starptautisko deju konkursu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Dance" pārstāvēt Latviju, kas šovasar norisināsies Losandželosā, ASV, no 2025. gada 17. līdz 21. jūlijam.</w:t>
      </w: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rsidR="008637FC"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S.Dikmane</w:t>
      </w:r>
      <w:proofErr w:type="spellEnd"/>
      <w:r>
        <w:rPr>
          <w:rFonts w:ascii="Times New Roman" w:eastAsia="Times New Roman" w:hAnsi="Times New Roman" w:cs="Times New Roman"/>
          <w:sz w:val="24"/>
          <w:szCs w:val="24"/>
        </w:rPr>
        <w:t xml:space="preserve"> - Iesniegumu par atbalsta nepieciešamību esam saņēmuši no deju studijas “Dance Art </w:t>
      </w:r>
      <w:proofErr w:type="spellStart"/>
      <w:r>
        <w:rPr>
          <w:rFonts w:ascii="Times New Roman" w:eastAsia="Times New Roman" w:hAnsi="Times New Roman" w:cs="Times New Roman"/>
          <w:sz w:val="24"/>
          <w:szCs w:val="24"/>
        </w:rPr>
        <w:t>Studio</w:t>
      </w:r>
      <w:proofErr w:type="spellEnd"/>
      <w:r>
        <w:rPr>
          <w:rFonts w:ascii="Times New Roman" w:eastAsia="Times New Roman" w:hAnsi="Times New Roman" w:cs="Times New Roman"/>
          <w:sz w:val="24"/>
          <w:szCs w:val="24"/>
        </w:rPr>
        <w:t xml:space="preserve"> SUNRISE” vadītājas [...], kur tiek lūgti līdzekļi </w:t>
      </w:r>
      <w:r w:rsidR="00874420">
        <w:rPr>
          <w:rFonts w:ascii="Times New Roman" w:eastAsia="Times New Roman" w:hAnsi="Times New Roman" w:cs="Times New Roman"/>
          <w:sz w:val="24"/>
          <w:szCs w:val="24"/>
        </w:rPr>
        <w:t>3000,00 EUR</w:t>
      </w:r>
      <w:r>
        <w:rPr>
          <w:rFonts w:ascii="Times New Roman" w:eastAsia="Times New Roman" w:hAnsi="Times New Roman" w:cs="Times New Roman"/>
          <w:sz w:val="24"/>
          <w:szCs w:val="24"/>
        </w:rPr>
        <w:t xml:space="preserve"> izmitināšanai Losandželosā no 17. līdz 21. jūlijam. Esmu iepazinusies ar deju studijas vadītājas publikācijām vietnē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par deju studijas aktualitātēm, tajā skaitā ziņu par studijas dalību konkursā ASV. Tur ir uzrunāta sabiedrība un tiek vākti nepieciešamie līdzekļi. Pēc publikāciju satura var secināt, ka iespēja piedalīties šajā konkursā ir jāizcīna savlaicīgi. Šo projektu var uzskatīt par mērķtiecīgi plānotu un ilgtermiņā realizētu, kā zināms, tad ir jāplāno arī nepieciešamie </w:t>
      </w:r>
      <w:proofErr w:type="spellStart"/>
      <w:r>
        <w:rPr>
          <w:rFonts w:ascii="Times New Roman" w:eastAsia="Times New Roman" w:hAnsi="Times New Roman" w:cs="Times New Roman"/>
          <w:sz w:val="24"/>
          <w:szCs w:val="24"/>
        </w:rPr>
        <w:t>finansu</w:t>
      </w:r>
      <w:proofErr w:type="spellEnd"/>
      <w:r>
        <w:rPr>
          <w:rFonts w:ascii="Times New Roman" w:eastAsia="Times New Roman" w:hAnsi="Times New Roman" w:cs="Times New Roman"/>
          <w:sz w:val="24"/>
          <w:szCs w:val="24"/>
        </w:rPr>
        <w:t xml:space="preserve"> līdzekļi.  Ir apsveicama [...] mērķtiecība un ieguldītais darbs savas meistarības izaugsmē, tomēr GNP Kultūras komisijas budžetā 2025. gadā nav plānoti līdzekļi pieprasītajā apjomā.  Ierosinu neatbalstīt līdzfinansējuma piešķiršanu ierobežoto finanšu līdzekļu dēļ.           </w:t>
      </w: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 </w:t>
      </w:r>
      <w:r>
        <w:rPr>
          <w:rFonts w:ascii="Times New Roman" w:eastAsia="Times New Roman" w:hAnsi="Times New Roman" w:cs="Times New Roman"/>
          <w:color w:val="1A1A1A"/>
          <w:sz w:val="24"/>
          <w:szCs w:val="24"/>
          <w:u w:val="single"/>
        </w:rPr>
        <w:t>6</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Melders</w:t>
      </w:r>
      <w:proofErr w:type="spellEnd"/>
      <w:r>
        <w:rPr>
          <w:rFonts w:ascii="Times New Roman" w:eastAsia="Times New Roman" w:hAnsi="Times New Roman" w:cs="Times New Roman"/>
          <w:sz w:val="24"/>
          <w:szCs w:val="24"/>
        </w:rPr>
        <w:t>, V. Dārgais</w:t>
      </w:r>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rsidR="008637FC" w:rsidRDefault="0000000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NEATBALSTĪT </w:t>
      </w:r>
      <w:r>
        <w:rPr>
          <w:rFonts w:ascii="Times New Roman" w:eastAsia="Times New Roman" w:hAnsi="Times New Roman" w:cs="Times New Roman"/>
          <w:sz w:val="24"/>
          <w:szCs w:val="24"/>
        </w:rPr>
        <w:t xml:space="preserve">līdzfinansējuma piešķiršanu deju konkursa braucienam Gulbenes iedzīvotājai [...] ierobežoto Kultūras komisijas finanšu  resursu dēļ. </w:t>
      </w:r>
    </w:p>
    <w:p w:rsidR="008637FC" w:rsidRDefault="0000000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Dārtai </w:t>
      </w:r>
      <w:proofErr w:type="spellStart"/>
      <w:r>
        <w:rPr>
          <w:rFonts w:ascii="Times New Roman" w:eastAsia="Times New Roman" w:hAnsi="Times New Roman" w:cs="Times New Roman"/>
          <w:sz w:val="24"/>
          <w:szCs w:val="24"/>
        </w:rPr>
        <w:t>Vilnei</w:t>
      </w:r>
      <w:proofErr w:type="spellEnd"/>
      <w:r>
        <w:rPr>
          <w:rFonts w:ascii="Times New Roman" w:eastAsia="Times New Roman" w:hAnsi="Times New Roman" w:cs="Times New Roman"/>
          <w:sz w:val="24"/>
          <w:szCs w:val="24"/>
        </w:rPr>
        <w:t xml:space="preserve">  nosūtīt izrakstu uz e-pastu [...]. </w:t>
      </w: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slēdz 2025. gada 27. jūnijā plkst. 11:00.</w:t>
      </w:r>
    </w:p>
    <w:p w:rsidR="008637FC" w:rsidRDefault="008637FC">
      <w:pPr>
        <w:spacing w:after="0" w:line="240" w:lineRule="auto"/>
        <w:jc w:val="both"/>
        <w:rPr>
          <w:rFonts w:ascii="Times New Roman" w:eastAsia="Times New Roman" w:hAnsi="Times New Roman" w:cs="Times New Roman"/>
          <w:sz w:val="24"/>
          <w:szCs w:val="24"/>
        </w:rPr>
      </w:pPr>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komisijas priekšsēdētāja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 </w:t>
      </w:r>
      <w:proofErr w:type="spellStart"/>
      <w:r>
        <w:rPr>
          <w:rFonts w:ascii="Times New Roman" w:eastAsia="Times New Roman" w:hAnsi="Times New Roman" w:cs="Times New Roman"/>
          <w:sz w:val="24"/>
          <w:szCs w:val="24"/>
        </w:rPr>
        <w:t>Dikmane</w:t>
      </w:r>
      <w:proofErr w:type="spellEnd"/>
    </w:p>
    <w:p w:rsidR="008637F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Sēdi protokolēja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D.Vilne</w:t>
      </w:r>
      <w:proofErr w:type="spellEnd"/>
    </w:p>
    <w:p w:rsidR="008637FC" w:rsidRDefault="008637FC">
      <w:pPr>
        <w:spacing w:after="0" w:line="240" w:lineRule="auto"/>
        <w:jc w:val="center"/>
        <w:rPr>
          <w:rFonts w:ascii="Times New Roman" w:eastAsia="Times New Roman" w:hAnsi="Times New Roman" w:cs="Times New Roman"/>
          <w:i/>
          <w:color w:val="666666"/>
          <w:sz w:val="24"/>
          <w:szCs w:val="24"/>
        </w:rPr>
      </w:pPr>
    </w:p>
    <w:p w:rsidR="008637FC" w:rsidRDefault="00000000">
      <w:pPr>
        <w:spacing w:after="0" w:line="240" w:lineRule="auto"/>
        <w:jc w:val="center"/>
        <w:rPr>
          <w:rFonts w:ascii="Times New Roman" w:eastAsia="Times New Roman" w:hAnsi="Times New Roman" w:cs="Times New Roman"/>
          <w:i/>
          <w:color w:val="666666"/>
          <w:sz w:val="24"/>
          <w:szCs w:val="24"/>
        </w:rPr>
      </w:pPr>
      <w:r>
        <w:rPr>
          <w:rFonts w:ascii="Times New Roman" w:eastAsia="Times New Roman" w:hAnsi="Times New Roman" w:cs="Times New Roman"/>
          <w:i/>
          <w:color w:val="666666"/>
          <w:sz w:val="24"/>
          <w:szCs w:val="24"/>
        </w:rPr>
        <w:t>Šis dokuments ir parakstīts ar drošu elektronisko parakstu un satur laika zīmogu</w:t>
      </w:r>
    </w:p>
    <w:sectPr w:rsidR="008637FC">
      <w:footerReference w:type="even" r:id="rId9"/>
      <w:footerReference w:type="default" r:id="rId10"/>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2FB7" w:rsidRDefault="00C72FB7">
      <w:pPr>
        <w:spacing w:after="0" w:line="240" w:lineRule="auto"/>
      </w:pPr>
      <w:r>
        <w:separator/>
      </w:r>
    </w:p>
  </w:endnote>
  <w:endnote w:type="continuationSeparator" w:id="0">
    <w:p w:rsidR="00C72FB7" w:rsidRDefault="00C7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37FC"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8637FC" w:rsidRDefault="008637FC">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37FC" w:rsidRDefault="00000000">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74420">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8637FC" w:rsidRDefault="008637FC">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2FB7" w:rsidRDefault="00C72FB7">
      <w:pPr>
        <w:spacing w:after="0" w:line="240" w:lineRule="auto"/>
      </w:pPr>
      <w:r>
        <w:separator/>
      </w:r>
    </w:p>
  </w:footnote>
  <w:footnote w:type="continuationSeparator" w:id="0">
    <w:p w:rsidR="00C72FB7" w:rsidRDefault="00C7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B42E0"/>
    <w:multiLevelType w:val="multilevel"/>
    <w:tmpl w:val="762AB4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30E18FF"/>
    <w:multiLevelType w:val="multilevel"/>
    <w:tmpl w:val="63E49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A56167"/>
    <w:multiLevelType w:val="multilevel"/>
    <w:tmpl w:val="FB5CC0A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875774064">
    <w:abstractNumId w:val="2"/>
  </w:num>
  <w:num w:numId="2" w16cid:durableId="1412435153">
    <w:abstractNumId w:val="1"/>
  </w:num>
  <w:num w:numId="3" w16cid:durableId="105238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FC"/>
    <w:rsid w:val="00136E1A"/>
    <w:rsid w:val="008637FC"/>
    <w:rsid w:val="00874420"/>
    <w:rsid w:val="00C72FB7"/>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362F1537"/>
  <w15:docId w15:val="{7E45F5CD-BAA3-904F-A2CC-EEC19FB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paragraph" w:styleId="ListParagraph">
    <w:name w:val="List Paragraph"/>
    <w:aliases w:val="1List Paragraph"/>
    <w:basedOn w:val="Normal"/>
    <w:link w:val="ListParagraphChar"/>
    <w:uiPriority w:val="34"/>
    <w:qFormat/>
    <w:rsid w:val="000E1ACC"/>
    <w:pPr>
      <w:ind w:left="720"/>
      <w:contextualSpacing/>
    </w:pPr>
  </w:style>
  <w:style w:type="paragraph" w:styleId="NormalWeb">
    <w:name w:val="Normal (Web)"/>
    <w:basedOn w:val="Normal"/>
    <w:uiPriority w:val="99"/>
    <w:semiHidden/>
    <w:unhideWhenUsed/>
    <w:rsid w:val="00E010F4"/>
    <w:rPr>
      <w:rFonts w:ascii="Times New Roman" w:hAnsi="Times New Roman" w:cs="Times New Roman"/>
      <w:sz w:val="24"/>
      <w:szCs w:val="24"/>
    </w:rPr>
  </w:style>
  <w:style w:type="table" w:styleId="TableGrid">
    <w:name w:val="Table Grid"/>
    <w:basedOn w:val="TableNormal"/>
    <w:uiPriority w:val="39"/>
    <w:rsid w:val="00B523A2"/>
    <w:pPr>
      <w:spacing w:after="0" w:line="240" w:lineRule="auto"/>
    </w:pPr>
    <w:rPr>
      <w:rFonts w:asciiTheme="minorHAnsi" w:eastAsiaTheme="minorHAnsi" w:hAnsiTheme="minorHAnsi" w:cstheme="minorBidi"/>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List Paragraph Char"/>
    <w:link w:val="ListParagraph"/>
    <w:uiPriority w:val="34"/>
    <w:locked/>
    <w:rsid w:val="00DB71A2"/>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character" w:styleId="Hyperlink">
    <w:name w:val="Hyperlink"/>
    <w:basedOn w:val="DefaultParagraphFont"/>
    <w:uiPriority w:val="99"/>
    <w:unhideWhenUsed/>
    <w:rsid w:val="00540B66"/>
    <w:rPr>
      <w:color w:val="0000FF" w:themeColor="hyperlink"/>
      <w:u w:val="single"/>
    </w:rPr>
  </w:style>
  <w:style w:type="character" w:styleId="UnresolvedMention">
    <w:name w:val="Unresolved Mention"/>
    <w:basedOn w:val="DefaultParagraphFont"/>
    <w:uiPriority w:val="99"/>
    <w:semiHidden/>
    <w:unhideWhenUsed/>
    <w:rsid w:val="00540B66"/>
    <w:rPr>
      <w:color w:val="605E5C"/>
      <w:shd w:val="clear" w:color="auto" w:fill="E1DFDD"/>
    </w:rPr>
  </w:style>
  <w:style w:type="character" w:styleId="FollowedHyperlink">
    <w:name w:val="FollowedHyperlink"/>
    <w:basedOn w:val="DefaultParagraphFont"/>
    <w:uiPriority w:val="99"/>
    <w:semiHidden/>
    <w:unhideWhenUsed/>
    <w:rsid w:val="00540B66"/>
    <w:rPr>
      <w:color w:val="800080" w:themeColor="followedHyperlink"/>
      <w:u w:val="single"/>
    </w:rPr>
  </w:style>
  <w:style w:type="table" w:customStyle="1" w:styleId="a8">
    <w:basedOn w:val="TableNormal"/>
    <w:tblPr>
      <w:tblStyleRowBandSize w:val="1"/>
      <w:tblStyleColBandSize w:val="1"/>
      <w:tblCellMar>
        <w:top w:w="100" w:type="dxa"/>
        <w:left w:w="115" w:type="dxa"/>
        <w:bottom w:w="100"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2D/NIMWHsLlD91tVA9CvPTqb/g==">CgMxLjAyCGguZ2pkZ3hzOAByITFmT2NXU0hLY2tZbEd0MGU4Wk0yQkhHME9yU2wwbXJWUA==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2025-06-02T08:29:00Z</dcterms:created>
  <dcterms:modified xsi:type="dcterms:W3CDTF">2025-07-01T13:03:00Z</dcterms:modified>
</cp:coreProperties>
</file>