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637FC" w:rsidRDefault="00000000">
      <w:pPr>
        <w:pBdr>
          <w:top w:val="nil"/>
          <w:left w:val="nil"/>
          <w:bottom w:val="nil"/>
          <w:right w:val="nil"/>
          <w:between w:val="nil"/>
        </w:pBdr>
        <w:spacing w:after="0" w:line="240" w:lineRule="auto"/>
        <w:jc w:val="both"/>
        <w:rPr>
          <w:rFonts w:ascii="Arial" w:eastAsia="Arial" w:hAnsi="Arial" w:cs="Arial"/>
        </w:rPr>
      </w:pPr>
      <w:r>
        <w:rPr>
          <w:noProof/>
        </w:rPr>
        <w:drawing>
          <wp:anchor distT="0" distB="0" distL="0" distR="0" simplePos="0" relativeHeight="251658240" behindDoc="0" locked="0" layoutInCell="1" hidden="0" allowOverlap="1">
            <wp:simplePos x="0" y="0"/>
            <wp:positionH relativeFrom="column">
              <wp:posOffset>2660178</wp:posOffset>
            </wp:positionH>
            <wp:positionV relativeFrom="paragraph">
              <wp:posOffset>0</wp:posOffset>
            </wp:positionV>
            <wp:extent cx="620395" cy="683895"/>
            <wp:effectExtent l="0" t="0" r="0" b="0"/>
            <wp:wrapSquare wrapText="bothSides" distT="0" distB="0" distL="0" distR="0"/>
            <wp:docPr id="9" name="image1.png" descr="Gulbenes_nov MB400"/>
            <wp:cNvGraphicFramePr/>
            <a:graphic xmlns:a="http://schemas.openxmlformats.org/drawingml/2006/main">
              <a:graphicData uri="http://schemas.openxmlformats.org/drawingml/2006/picture">
                <pic:pic xmlns:pic="http://schemas.openxmlformats.org/drawingml/2006/picture">
                  <pic:nvPicPr>
                    <pic:cNvPr id="0" name="image1.png" descr="Gulbenes_nov MB400"/>
                    <pic:cNvPicPr preferRelativeResize="0"/>
                  </pic:nvPicPr>
                  <pic:blipFill>
                    <a:blip r:embed="rId8"/>
                    <a:srcRect/>
                    <a:stretch>
                      <a:fillRect/>
                    </a:stretch>
                  </pic:blipFill>
                  <pic:spPr>
                    <a:xfrm>
                      <a:off x="0" y="0"/>
                      <a:ext cx="620395" cy="683895"/>
                    </a:xfrm>
                    <a:prstGeom prst="rect">
                      <a:avLst/>
                    </a:prstGeom>
                    <a:ln/>
                  </pic:spPr>
                </pic:pic>
              </a:graphicData>
            </a:graphic>
          </wp:anchor>
        </w:drawing>
      </w:r>
    </w:p>
    <w:p w:rsidR="008637FC" w:rsidRDefault="008637FC">
      <w:pPr>
        <w:pBdr>
          <w:top w:val="nil"/>
          <w:left w:val="nil"/>
          <w:bottom w:val="nil"/>
          <w:right w:val="nil"/>
          <w:between w:val="nil"/>
        </w:pBdr>
        <w:spacing w:after="0" w:line="240" w:lineRule="auto"/>
        <w:jc w:val="both"/>
        <w:rPr>
          <w:rFonts w:ascii="Arial" w:eastAsia="Arial" w:hAnsi="Arial" w:cs="Arial"/>
        </w:rPr>
      </w:pPr>
    </w:p>
    <w:p w:rsidR="008637FC" w:rsidRDefault="008637FC">
      <w:pPr>
        <w:pBdr>
          <w:top w:val="nil"/>
          <w:left w:val="nil"/>
          <w:bottom w:val="nil"/>
          <w:right w:val="nil"/>
          <w:between w:val="nil"/>
        </w:pBdr>
        <w:spacing w:after="0" w:line="240" w:lineRule="auto"/>
        <w:jc w:val="both"/>
        <w:rPr>
          <w:rFonts w:ascii="Arial" w:eastAsia="Arial" w:hAnsi="Arial" w:cs="Arial"/>
        </w:rPr>
      </w:pPr>
    </w:p>
    <w:p w:rsidR="008637FC" w:rsidRDefault="008637FC">
      <w:pPr>
        <w:pBdr>
          <w:top w:val="nil"/>
          <w:left w:val="nil"/>
          <w:bottom w:val="nil"/>
          <w:right w:val="nil"/>
          <w:between w:val="nil"/>
        </w:pBdr>
        <w:spacing w:after="0" w:line="240" w:lineRule="auto"/>
        <w:jc w:val="both"/>
        <w:rPr>
          <w:rFonts w:ascii="Arial" w:eastAsia="Arial" w:hAnsi="Arial" w:cs="Arial"/>
        </w:rPr>
      </w:pPr>
    </w:p>
    <w:tbl>
      <w:tblPr>
        <w:tblStyle w:val="a9"/>
        <w:tblW w:w="9360" w:type="dxa"/>
        <w:tblLayout w:type="fixed"/>
        <w:tblLook w:val="0000" w:firstRow="0" w:lastRow="0" w:firstColumn="0" w:lastColumn="0" w:noHBand="0" w:noVBand="0"/>
      </w:tblPr>
      <w:tblGrid>
        <w:gridCol w:w="9360"/>
      </w:tblGrid>
      <w:tr w:rsidR="008637FC">
        <w:tc>
          <w:tcPr>
            <w:tcW w:w="9360" w:type="dxa"/>
            <w:tcBorders>
              <w:top w:val="nil"/>
              <w:left w:val="nil"/>
              <w:bottom w:val="nil"/>
              <w:right w:val="nil"/>
            </w:tcBorders>
          </w:tcPr>
          <w:p w:rsidR="008637FC"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bookmarkStart w:id="0" w:name="_heading=h.gjdgxs" w:colFirst="0" w:colLast="0"/>
            <w:bookmarkEnd w:id="0"/>
            <w:r>
              <w:rPr>
                <w:rFonts w:ascii="Times New Roman" w:eastAsia="Times New Roman" w:hAnsi="Times New Roman" w:cs="Times New Roman"/>
                <w:b/>
                <w:color w:val="000000"/>
                <w:sz w:val="24"/>
                <w:szCs w:val="24"/>
              </w:rPr>
              <w:t>GULBENES NOVADA PAŠVALDĪBAS</w:t>
            </w:r>
          </w:p>
        </w:tc>
      </w:tr>
      <w:tr w:rsidR="008637FC">
        <w:tc>
          <w:tcPr>
            <w:tcW w:w="9360" w:type="dxa"/>
            <w:tcBorders>
              <w:top w:val="nil"/>
              <w:left w:val="nil"/>
              <w:bottom w:val="nil"/>
              <w:right w:val="nil"/>
            </w:tcBorders>
          </w:tcPr>
          <w:p w:rsidR="008637FC"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KULTŪRAS KOMISIJA</w:t>
            </w:r>
          </w:p>
        </w:tc>
      </w:tr>
      <w:tr w:rsidR="008637FC">
        <w:tc>
          <w:tcPr>
            <w:tcW w:w="9360" w:type="dxa"/>
          </w:tcPr>
          <w:p w:rsidR="008637FC"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Ābeļu iela 2, Gulbene, Gulbenes nov., LV-4401</w:t>
            </w:r>
          </w:p>
        </w:tc>
      </w:tr>
      <w:tr w:rsidR="008637FC">
        <w:tc>
          <w:tcPr>
            <w:tcW w:w="9360" w:type="dxa"/>
          </w:tcPr>
          <w:p w:rsidR="008637FC" w:rsidRDefault="00000000">
            <w:pPr>
              <w:pBdr>
                <w:bottom w:val="single" w:sz="12" w:space="1" w:color="000000"/>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Tālrunis: 29477941, e-pasts: kulturas.komisija@gulbene.lv, www.gulbene.lv</w:t>
            </w:r>
          </w:p>
          <w:p w:rsidR="008637FC" w:rsidRDefault="008637FC">
            <w:pPr>
              <w:spacing w:after="0" w:line="240" w:lineRule="auto"/>
              <w:jc w:val="center"/>
              <w:rPr>
                <w:rFonts w:ascii="Times New Roman" w:eastAsia="Times New Roman" w:hAnsi="Times New Roman" w:cs="Times New Roman"/>
                <w:b/>
                <w:sz w:val="24"/>
                <w:szCs w:val="24"/>
              </w:rPr>
            </w:pPr>
          </w:p>
          <w:p w:rsidR="008637FC"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KOMISIJAS SĒDES</w:t>
            </w:r>
          </w:p>
          <w:p w:rsidR="008637FC"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PROTOKOLS </w:t>
            </w:r>
          </w:p>
        </w:tc>
      </w:tr>
    </w:tbl>
    <w:p w:rsidR="008637FC"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Gulbenē</w:t>
      </w:r>
    </w:p>
    <w:p w:rsidR="008637FC"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2025. gada 27. jūnijs</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Nr. 4</w:t>
      </w:r>
    </w:p>
    <w:p w:rsidR="008637FC" w:rsidRDefault="008637FC">
      <w:pPr>
        <w:spacing w:after="0" w:line="240" w:lineRule="auto"/>
        <w:jc w:val="both"/>
        <w:rPr>
          <w:rFonts w:ascii="Times New Roman" w:eastAsia="Times New Roman" w:hAnsi="Times New Roman" w:cs="Times New Roman"/>
          <w:b/>
          <w:sz w:val="24"/>
          <w:szCs w:val="24"/>
        </w:rPr>
      </w:pPr>
    </w:p>
    <w:p w:rsidR="008637FC"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Sēde sasaukta:</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plkst. 10:00, Gulbenes Mākslas skolā</w:t>
      </w:r>
    </w:p>
    <w:p w:rsidR="008637FC" w:rsidRDefault="00000000">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Sēdi atklāj</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plkst. 10:00</w:t>
      </w:r>
      <w:r>
        <w:rPr>
          <w:rFonts w:ascii="Times New Roman" w:eastAsia="Times New Roman" w:hAnsi="Times New Roman" w:cs="Times New Roman"/>
          <w:sz w:val="24"/>
          <w:szCs w:val="24"/>
          <w:u w:val="single"/>
        </w:rPr>
        <w:t xml:space="preserve"> </w:t>
      </w:r>
    </w:p>
    <w:p w:rsidR="008637FC"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u w:val="single"/>
        </w:rPr>
        <w:t>Sēdi vada</w:t>
      </w:r>
      <w:r>
        <w:rPr>
          <w:rFonts w:ascii="Times New Roman" w:eastAsia="Times New Roman" w:hAnsi="Times New Roman" w:cs="Times New Roman"/>
          <w:sz w:val="24"/>
          <w:szCs w:val="24"/>
        </w:rPr>
        <w:t xml:space="preserve">: Kultūras komisijas priekšsēdētāja Sandra </w:t>
      </w:r>
      <w:proofErr w:type="spellStart"/>
      <w:r>
        <w:rPr>
          <w:rFonts w:ascii="Times New Roman" w:eastAsia="Times New Roman" w:hAnsi="Times New Roman" w:cs="Times New Roman"/>
          <w:sz w:val="24"/>
          <w:szCs w:val="24"/>
        </w:rPr>
        <w:t>Dikmane</w:t>
      </w:r>
      <w:proofErr w:type="spellEnd"/>
    </w:p>
    <w:p w:rsidR="008637FC"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Sēdi protokolē</w:t>
      </w:r>
      <w:r>
        <w:rPr>
          <w:rFonts w:ascii="Times New Roman" w:eastAsia="Times New Roman" w:hAnsi="Times New Roman" w:cs="Times New Roman"/>
          <w:sz w:val="24"/>
          <w:szCs w:val="24"/>
        </w:rPr>
        <w:t xml:space="preserve">: Kultūras komisijas sekretāre Dārta </w:t>
      </w:r>
      <w:proofErr w:type="spellStart"/>
      <w:r>
        <w:rPr>
          <w:rFonts w:ascii="Times New Roman" w:eastAsia="Times New Roman" w:hAnsi="Times New Roman" w:cs="Times New Roman"/>
          <w:sz w:val="24"/>
          <w:szCs w:val="24"/>
        </w:rPr>
        <w:t>Vilne</w:t>
      </w:r>
      <w:proofErr w:type="spellEnd"/>
    </w:p>
    <w:p w:rsidR="008637FC"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Sēdē piedalās komisijas locekļi</w:t>
      </w:r>
      <w:r>
        <w:rPr>
          <w:rFonts w:ascii="Times New Roman" w:eastAsia="Times New Roman" w:hAnsi="Times New Roman" w:cs="Times New Roman"/>
          <w:sz w:val="24"/>
          <w:szCs w:val="24"/>
        </w:rPr>
        <w:t xml:space="preserve">: Sarmīte Zdanovska, Ainārs </w:t>
      </w:r>
      <w:proofErr w:type="spellStart"/>
      <w:r>
        <w:rPr>
          <w:rFonts w:ascii="Times New Roman" w:eastAsia="Times New Roman" w:hAnsi="Times New Roman" w:cs="Times New Roman"/>
          <w:sz w:val="24"/>
          <w:szCs w:val="24"/>
        </w:rPr>
        <w:t>Brezinskis</w:t>
      </w:r>
      <w:proofErr w:type="spellEnd"/>
      <w:r>
        <w:rPr>
          <w:rFonts w:ascii="Times New Roman" w:eastAsia="Times New Roman" w:hAnsi="Times New Roman" w:cs="Times New Roman"/>
          <w:sz w:val="24"/>
          <w:szCs w:val="24"/>
        </w:rPr>
        <w:t xml:space="preserve">, Sabīne </w:t>
      </w:r>
      <w:proofErr w:type="spellStart"/>
      <w:r>
        <w:rPr>
          <w:rFonts w:ascii="Times New Roman" w:eastAsia="Times New Roman" w:hAnsi="Times New Roman" w:cs="Times New Roman"/>
          <w:sz w:val="24"/>
          <w:szCs w:val="24"/>
        </w:rPr>
        <w:t>Jefimova</w:t>
      </w:r>
      <w:proofErr w:type="spellEnd"/>
      <w:r>
        <w:rPr>
          <w:rFonts w:ascii="Times New Roman" w:eastAsia="Times New Roman" w:hAnsi="Times New Roman" w:cs="Times New Roman"/>
          <w:sz w:val="24"/>
          <w:szCs w:val="24"/>
        </w:rPr>
        <w:t xml:space="preserve">, Valda Dārgais, Raitis </w:t>
      </w:r>
      <w:proofErr w:type="spellStart"/>
      <w:r>
        <w:rPr>
          <w:rFonts w:ascii="Times New Roman" w:eastAsia="Times New Roman" w:hAnsi="Times New Roman" w:cs="Times New Roman"/>
          <w:sz w:val="24"/>
          <w:szCs w:val="24"/>
        </w:rPr>
        <w:t>Melders</w:t>
      </w:r>
      <w:proofErr w:type="spellEnd"/>
    </w:p>
    <w:p w:rsidR="008637FC"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Sēdē nepiedalās komisijas locekļi</w:t>
      </w:r>
      <w:r>
        <w:rPr>
          <w:rFonts w:ascii="Times New Roman" w:eastAsia="Times New Roman" w:hAnsi="Times New Roman" w:cs="Times New Roman"/>
          <w:sz w:val="24"/>
          <w:szCs w:val="24"/>
        </w:rPr>
        <w:t>: Sandra Āre</w:t>
      </w:r>
    </w:p>
    <w:p w:rsidR="008637FC"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Sēdē pieaicināti</w:t>
      </w:r>
      <w:r>
        <w:rPr>
          <w:rFonts w:ascii="Times New Roman" w:eastAsia="Times New Roman" w:hAnsi="Times New Roman" w:cs="Times New Roman"/>
          <w:sz w:val="24"/>
          <w:szCs w:val="24"/>
        </w:rPr>
        <w:t>: Nav</w:t>
      </w:r>
    </w:p>
    <w:p w:rsidR="008637FC" w:rsidRDefault="008637FC">
      <w:pPr>
        <w:spacing w:after="0" w:line="240" w:lineRule="auto"/>
        <w:jc w:val="both"/>
        <w:rPr>
          <w:rFonts w:ascii="Times New Roman" w:eastAsia="Times New Roman" w:hAnsi="Times New Roman" w:cs="Times New Roman"/>
          <w:b/>
          <w:sz w:val="24"/>
          <w:szCs w:val="24"/>
        </w:rPr>
      </w:pPr>
    </w:p>
    <w:p w:rsidR="008637FC"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atklāti balsojot:</w:t>
      </w:r>
      <w:r>
        <w:rPr>
          <w:rFonts w:ascii="Times New Roman" w:eastAsia="Times New Roman" w:hAnsi="Times New Roman" w:cs="Times New Roman"/>
          <w:sz w:val="24"/>
          <w:szCs w:val="24"/>
        </w:rPr>
        <w:t xml:space="preserve"> PAR – </w:t>
      </w:r>
      <w:r>
        <w:rPr>
          <w:rFonts w:ascii="Times New Roman" w:eastAsia="Times New Roman" w:hAnsi="Times New Roman" w:cs="Times New Roman"/>
          <w:color w:val="1A1A1A"/>
          <w:sz w:val="24"/>
          <w:szCs w:val="24"/>
          <w:u w:val="single"/>
        </w:rPr>
        <w:t>6</w:t>
      </w:r>
      <w:r>
        <w:rPr>
          <w:rFonts w:ascii="Times New Roman" w:eastAsia="Times New Roman" w:hAnsi="Times New Roman" w:cs="Times New Roman"/>
          <w:color w:val="1A1A1A"/>
          <w:sz w:val="24"/>
          <w:szCs w:val="24"/>
        </w:rPr>
        <w:t xml:space="preserve"> (S. </w:t>
      </w:r>
      <w:proofErr w:type="spellStart"/>
      <w:r>
        <w:rPr>
          <w:rFonts w:ascii="Times New Roman" w:eastAsia="Times New Roman" w:hAnsi="Times New Roman" w:cs="Times New Roman"/>
          <w:color w:val="1A1A1A"/>
          <w:sz w:val="24"/>
          <w:szCs w:val="24"/>
        </w:rPr>
        <w:t>Dikmane</w:t>
      </w:r>
      <w:proofErr w:type="spellEnd"/>
      <w:r>
        <w:rPr>
          <w:rFonts w:ascii="Times New Roman" w:eastAsia="Times New Roman" w:hAnsi="Times New Roman" w:cs="Times New Roman"/>
          <w:color w:val="1A1A1A"/>
          <w:sz w:val="24"/>
          <w:szCs w:val="24"/>
        </w:rPr>
        <w:t xml:space="preserve">, S. Zdanovska, </w:t>
      </w:r>
      <w:proofErr w:type="spellStart"/>
      <w:r>
        <w:rPr>
          <w:rFonts w:ascii="Times New Roman" w:eastAsia="Times New Roman" w:hAnsi="Times New Roman" w:cs="Times New Roman"/>
          <w:color w:val="1A1A1A"/>
          <w:sz w:val="24"/>
          <w:szCs w:val="24"/>
        </w:rPr>
        <w:t>S.Jefimova</w:t>
      </w:r>
      <w:proofErr w:type="spellEnd"/>
      <w:r>
        <w:rPr>
          <w:rFonts w:ascii="Times New Roman" w:eastAsia="Times New Roman" w:hAnsi="Times New Roman" w:cs="Times New Roman"/>
          <w:color w:val="1A1A1A"/>
          <w:sz w:val="24"/>
          <w:szCs w:val="24"/>
        </w:rPr>
        <w:t xml:space="preserve">, </w:t>
      </w:r>
      <w:proofErr w:type="spellStart"/>
      <w:r>
        <w:rPr>
          <w:rFonts w:ascii="Times New Roman" w:eastAsia="Times New Roman" w:hAnsi="Times New Roman" w:cs="Times New Roman"/>
          <w:color w:val="1A1A1A"/>
          <w:sz w:val="24"/>
          <w:szCs w:val="24"/>
        </w:rPr>
        <w:t>A.Brezinskis</w:t>
      </w:r>
      <w:proofErr w:type="spellEnd"/>
      <w:r>
        <w:rPr>
          <w:rFonts w:ascii="Times New Roman" w:eastAsia="Times New Roman" w:hAnsi="Times New Roman" w:cs="Times New Roman"/>
          <w:color w:val="1A1A1A"/>
          <w:sz w:val="24"/>
          <w:szCs w:val="24"/>
        </w:rPr>
        <w:t xml:space="preserve">, </w:t>
      </w:r>
      <w:proofErr w:type="spellStart"/>
      <w:r>
        <w:rPr>
          <w:rFonts w:ascii="Times New Roman" w:eastAsia="Times New Roman" w:hAnsi="Times New Roman" w:cs="Times New Roman"/>
          <w:color w:val="1A1A1A"/>
          <w:sz w:val="24"/>
          <w:szCs w:val="24"/>
        </w:rPr>
        <w:t>R.Melders</w:t>
      </w:r>
      <w:proofErr w:type="spellEnd"/>
      <w:r>
        <w:rPr>
          <w:rFonts w:ascii="Times New Roman" w:eastAsia="Times New Roman" w:hAnsi="Times New Roman" w:cs="Times New Roman"/>
          <w:color w:val="1A1A1A"/>
          <w:sz w:val="24"/>
          <w:szCs w:val="24"/>
        </w:rPr>
        <w:t>,</w:t>
      </w:r>
      <w:r>
        <w:rPr>
          <w:rFonts w:ascii="Times New Roman" w:eastAsia="Times New Roman" w:hAnsi="Times New Roman" w:cs="Times New Roman"/>
          <w:sz w:val="24"/>
          <w:szCs w:val="24"/>
        </w:rPr>
        <w:t xml:space="preserve"> V. Dārgais</w:t>
      </w:r>
      <w:r>
        <w:rPr>
          <w:rFonts w:ascii="Times New Roman" w:eastAsia="Times New Roman" w:hAnsi="Times New Roman" w:cs="Times New Roman"/>
          <w:color w:val="1A1A1A"/>
          <w:sz w:val="24"/>
          <w:szCs w:val="24"/>
        </w:rPr>
        <w:t>)</w:t>
      </w:r>
      <w:r>
        <w:rPr>
          <w:rFonts w:ascii="Times New Roman" w:eastAsia="Times New Roman" w:hAnsi="Times New Roman" w:cs="Times New Roman"/>
          <w:sz w:val="24"/>
          <w:szCs w:val="24"/>
        </w:rPr>
        <w:t xml:space="preserve">; PRET – </w:t>
      </w:r>
      <w:r>
        <w:rPr>
          <w:rFonts w:ascii="Times New Roman" w:eastAsia="Times New Roman" w:hAnsi="Times New Roman" w:cs="Times New Roman"/>
          <w:sz w:val="24"/>
          <w:szCs w:val="24"/>
          <w:u w:val="single"/>
        </w:rPr>
        <w:t>nav</w:t>
      </w:r>
      <w:r>
        <w:rPr>
          <w:rFonts w:ascii="Times New Roman" w:eastAsia="Times New Roman" w:hAnsi="Times New Roman" w:cs="Times New Roman"/>
          <w:sz w:val="24"/>
          <w:szCs w:val="24"/>
        </w:rPr>
        <w:t xml:space="preserve">; ATTURAS – </w:t>
      </w:r>
      <w:r>
        <w:rPr>
          <w:rFonts w:ascii="Times New Roman" w:eastAsia="Times New Roman" w:hAnsi="Times New Roman" w:cs="Times New Roman"/>
          <w:sz w:val="24"/>
          <w:szCs w:val="24"/>
          <w:u w:val="single"/>
        </w:rPr>
        <w:t>nav</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Gulbenes novada pašvaldības Kultūras komisija NOLEMJ:</w:t>
      </w:r>
    </w:p>
    <w:p w:rsidR="008637FC"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APSTIPRINĀT</w:t>
      </w:r>
      <w:r>
        <w:rPr>
          <w:rFonts w:ascii="Times New Roman" w:eastAsia="Times New Roman" w:hAnsi="Times New Roman" w:cs="Times New Roman"/>
          <w:b/>
          <w:sz w:val="24"/>
          <w:szCs w:val="24"/>
        </w:rPr>
        <w:t xml:space="preserve"> 2025. gada 27. jūnija </w:t>
      </w:r>
      <w:r>
        <w:rPr>
          <w:rFonts w:ascii="Times New Roman" w:eastAsia="Times New Roman" w:hAnsi="Times New Roman" w:cs="Times New Roman"/>
          <w:sz w:val="24"/>
          <w:szCs w:val="24"/>
        </w:rPr>
        <w:t>Gulbenes novada pašvaldības Kultūras komisijas darba kārtību.</w:t>
      </w:r>
    </w:p>
    <w:p w:rsidR="008637FC" w:rsidRDefault="00000000">
      <w:pPr>
        <w:numPr>
          <w:ilvl w:val="0"/>
          <w:numId w:val="2"/>
        </w:num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 [...] iesnieguma izskatīšanu;</w:t>
      </w:r>
    </w:p>
    <w:p w:rsidR="008637FC" w:rsidRDefault="00000000">
      <w:pPr>
        <w:numPr>
          <w:ilvl w:val="0"/>
          <w:numId w:val="2"/>
        </w:num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Iesnieguma “Par līdzfinansējuma piešķiršanu deju konkursa braucienam Gulbenes iedzīvotājai  [...]” izskatīšanu.</w:t>
      </w:r>
    </w:p>
    <w:p w:rsidR="008637FC" w:rsidRDefault="008637FC">
      <w:pPr>
        <w:spacing w:after="0" w:line="240" w:lineRule="auto"/>
        <w:jc w:val="both"/>
        <w:rPr>
          <w:rFonts w:ascii="Times New Roman" w:eastAsia="Times New Roman" w:hAnsi="Times New Roman" w:cs="Times New Roman"/>
          <w:b/>
          <w:sz w:val="24"/>
          <w:szCs w:val="24"/>
        </w:rPr>
      </w:pPr>
    </w:p>
    <w:p w:rsidR="008637FC" w:rsidRDefault="00000000">
      <w:pPr>
        <w:pBdr>
          <w:bottom w:val="single" w:sz="12" w:space="1" w:color="000000"/>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p w:rsidR="008637FC" w:rsidRDefault="00000000">
      <w:pPr>
        <w:pBdr>
          <w:bottom w:val="single" w:sz="12" w:space="1" w:color="000000"/>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Par  [...]  iesnieguma izskatīšanu </w:t>
      </w:r>
    </w:p>
    <w:p w:rsidR="008637FC"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Ziņo:</w:t>
      </w:r>
      <w:r>
        <w:rPr>
          <w:rFonts w:ascii="Times New Roman" w:eastAsia="Times New Roman" w:hAnsi="Times New Roman" w:cs="Times New Roman"/>
          <w:sz w:val="24"/>
          <w:szCs w:val="24"/>
        </w:rPr>
        <w:t xml:space="preserve"> S. </w:t>
      </w:r>
      <w:proofErr w:type="spellStart"/>
      <w:r>
        <w:rPr>
          <w:rFonts w:ascii="Times New Roman" w:eastAsia="Times New Roman" w:hAnsi="Times New Roman" w:cs="Times New Roman"/>
          <w:sz w:val="24"/>
          <w:szCs w:val="24"/>
        </w:rPr>
        <w:t>Dikmane</w:t>
      </w:r>
      <w:proofErr w:type="spellEnd"/>
    </w:p>
    <w:p w:rsidR="008637FC"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pašvaldības Kultūras komisija ir saņēmusi [...] iesniegumu (23.05.2025. Nr. GND/5.15.1/25/1204) par finansiālu atbalstu EUR 1000,00 apmērā ar mērķi izdot grāmatu “Sudala ceļš”. Iesniegums izskatīts Kultūras komisijas 2025.gada 27.maija sēdē Nr.3, 1.§, kur secināts, ka trūkst pilnas informācijas par grāmatas ideju, saturu, mērķiem un autoriem, lai iesniegumu pilnvērtīgi izskatītu un pieņemtu lēmumu. Iesnieguma autorei tika lūgts sniegt Kultūras komisijai papildus informāciju, kas arī ticis izdarīts 2025.gada 8.jūnijā. </w:t>
      </w:r>
    </w:p>
    <w:p w:rsidR="008637FC" w:rsidRDefault="008637FC">
      <w:pPr>
        <w:spacing w:after="0" w:line="240" w:lineRule="auto"/>
        <w:ind w:firstLine="720"/>
        <w:jc w:val="both"/>
        <w:rPr>
          <w:rFonts w:ascii="Times New Roman" w:eastAsia="Times New Roman" w:hAnsi="Times New Roman" w:cs="Times New Roman"/>
          <w:sz w:val="24"/>
          <w:szCs w:val="24"/>
        </w:rPr>
      </w:pPr>
    </w:p>
    <w:p w:rsidR="008637FC"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Izsakās:</w:t>
      </w:r>
    </w:p>
    <w:p w:rsidR="008637FC"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Kultūras komisija locekļi uzteic grāmatas ideju par novada vietējās tematikas akcentēšanu un autoru līdz šim ieguldīto darbu. Taču Kultūras komisijas 2025. gada finansējums ir ļoti ierobežots, līdz ar to nav iespēja atbalstīt grāmatas izdošanu pilnā lūgtajā apmērā. Tiek izskatīta iespēja sniegt vismaz daļēju atbalstu 400,00 EUR  apmērā. Pārējie piekrīt. </w:t>
      </w:r>
    </w:p>
    <w:p w:rsidR="008637FC" w:rsidRDefault="008637FC">
      <w:pPr>
        <w:spacing w:after="0" w:line="240" w:lineRule="auto"/>
        <w:jc w:val="both"/>
        <w:rPr>
          <w:rFonts w:ascii="Times New Roman" w:eastAsia="Times New Roman" w:hAnsi="Times New Roman" w:cs="Times New Roman"/>
          <w:sz w:val="24"/>
          <w:szCs w:val="24"/>
        </w:rPr>
      </w:pPr>
    </w:p>
    <w:p w:rsidR="008637FC"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atklāti balsojot:</w:t>
      </w:r>
      <w:r>
        <w:rPr>
          <w:rFonts w:ascii="Times New Roman" w:eastAsia="Times New Roman" w:hAnsi="Times New Roman" w:cs="Times New Roman"/>
          <w:sz w:val="24"/>
          <w:szCs w:val="24"/>
        </w:rPr>
        <w:t xml:space="preserve"> PAR – – </w:t>
      </w:r>
      <w:r>
        <w:rPr>
          <w:rFonts w:ascii="Times New Roman" w:eastAsia="Times New Roman" w:hAnsi="Times New Roman" w:cs="Times New Roman"/>
          <w:color w:val="1A1A1A"/>
          <w:sz w:val="24"/>
          <w:szCs w:val="24"/>
          <w:u w:val="single"/>
        </w:rPr>
        <w:t>6</w:t>
      </w:r>
      <w:r>
        <w:rPr>
          <w:rFonts w:ascii="Times New Roman" w:eastAsia="Times New Roman" w:hAnsi="Times New Roman" w:cs="Times New Roman"/>
          <w:color w:val="1A1A1A"/>
          <w:sz w:val="24"/>
          <w:szCs w:val="24"/>
        </w:rPr>
        <w:t xml:space="preserve"> (S. </w:t>
      </w:r>
      <w:proofErr w:type="spellStart"/>
      <w:r>
        <w:rPr>
          <w:rFonts w:ascii="Times New Roman" w:eastAsia="Times New Roman" w:hAnsi="Times New Roman" w:cs="Times New Roman"/>
          <w:color w:val="1A1A1A"/>
          <w:sz w:val="24"/>
          <w:szCs w:val="24"/>
        </w:rPr>
        <w:t>Dikmane</w:t>
      </w:r>
      <w:proofErr w:type="spellEnd"/>
      <w:r>
        <w:rPr>
          <w:rFonts w:ascii="Times New Roman" w:eastAsia="Times New Roman" w:hAnsi="Times New Roman" w:cs="Times New Roman"/>
          <w:color w:val="1A1A1A"/>
          <w:sz w:val="24"/>
          <w:szCs w:val="24"/>
        </w:rPr>
        <w:t xml:space="preserve">, S. Zdanovska, </w:t>
      </w:r>
      <w:proofErr w:type="spellStart"/>
      <w:r>
        <w:rPr>
          <w:rFonts w:ascii="Times New Roman" w:eastAsia="Times New Roman" w:hAnsi="Times New Roman" w:cs="Times New Roman"/>
          <w:color w:val="1A1A1A"/>
          <w:sz w:val="24"/>
          <w:szCs w:val="24"/>
        </w:rPr>
        <w:t>S.Jefimova</w:t>
      </w:r>
      <w:proofErr w:type="spellEnd"/>
      <w:r>
        <w:rPr>
          <w:rFonts w:ascii="Times New Roman" w:eastAsia="Times New Roman" w:hAnsi="Times New Roman" w:cs="Times New Roman"/>
          <w:color w:val="1A1A1A"/>
          <w:sz w:val="24"/>
          <w:szCs w:val="24"/>
        </w:rPr>
        <w:t xml:space="preserve">, </w:t>
      </w:r>
      <w:proofErr w:type="spellStart"/>
      <w:r>
        <w:rPr>
          <w:rFonts w:ascii="Times New Roman" w:eastAsia="Times New Roman" w:hAnsi="Times New Roman" w:cs="Times New Roman"/>
          <w:sz w:val="24"/>
          <w:szCs w:val="24"/>
        </w:rPr>
        <w:t>R.Melders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A.Brezinskis</w:t>
      </w:r>
      <w:proofErr w:type="spellEnd"/>
      <w:r>
        <w:rPr>
          <w:rFonts w:ascii="Times New Roman" w:eastAsia="Times New Roman" w:hAnsi="Times New Roman" w:cs="Times New Roman"/>
          <w:sz w:val="24"/>
          <w:szCs w:val="24"/>
        </w:rPr>
        <w:t>, V. Dārgais</w:t>
      </w:r>
      <w:r>
        <w:rPr>
          <w:rFonts w:ascii="Times New Roman" w:eastAsia="Times New Roman" w:hAnsi="Times New Roman" w:cs="Times New Roman"/>
          <w:color w:val="1A1A1A"/>
          <w:sz w:val="24"/>
          <w:szCs w:val="24"/>
        </w:rPr>
        <w:t>)</w:t>
      </w:r>
      <w:r>
        <w:rPr>
          <w:rFonts w:ascii="Times New Roman" w:eastAsia="Times New Roman" w:hAnsi="Times New Roman" w:cs="Times New Roman"/>
          <w:sz w:val="24"/>
          <w:szCs w:val="24"/>
        </w:rPr>
        <w:t xml:space="preserve">; PRET – </w:t>
      </w:r>
      <w:r>
        <w:rPr>
          <w:rFonts w:ascii="Times New Roman" w:eastAsia="Times New Roman" w:hAnsi="Times New Roman" w:cs="Times New Roman"/>
          <w:sz w:val="24"/>
          <w:szCs w:val="24"/>
          <w:u w:val="single"/>
        </w:rPr>
        <w:t>nav</w:t>
      </w:r>
      <w:r>
        <w:rPr>
          <w:rFonts w:ascii="Times New Roman" w:eastAsia="Times New Roman" w:hAnsi="Times New Roman" w:cs="Times New Roman"/>
          <w:sz w:val="24"/>
          <w:szCs w:val="24"/>
        </w:rPr>
        <w:t xml:space="preserve">; ATTURAS – </w:t>
      </w:r>
      <w:r>
        <w:rPr>
          <w:rFonts w:ascii="Times New Roman" w:eastAsia="Times New Roman" w:hAnsi="Times New Roman" w:cs="Times New Roman"/>
          <w:sz w:val="24"/>
          <w:szCs w:val="24"/>
          <w:u w:val="single"/>
        </w:rPr>
        <w:t>nav</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Gulbenes novada pašvaldības Kultūras komisija NOLEMJ:</w:t>
      </w:r>
    </w:p>
    <w:p w:rsidR="008637FC" w:rsidRDefault="00000000">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ATBALSTĪT </w:t>
      </w:r>
      <w:r>
        <w:rPr>
          <w:rFonts w:ascii="Times New Roman" w:eastAsia="Times New Roman" w:hAnsi="Times New Roman" w:cs="Times New Roman"/>
          <w:sz w:val="24"/>
          <w:szCs w:val="24"/>
        </w:rPr>
        <w:t xml:space="preserve">Baibas </w:t>
      </w:r>
      <w:proofErr w:type="spellStart"/>
      <w:r>
        <w:rPr>
          <w:rFonts w:ascii="Times New Roman" w:eastAsia="Times New Roman" w:hAnsi="Times New Roman" w:cs="Times New Roman"/>
          <w:sz w:val="24"/>
          <w:szCs w:val="24"/>
        </w:rPr>
        <w:t>Berkoldes</w:t>
      </w:r>
      <w:proofErr w:type="spellEnd"/>
      <w:r>
        <w:rPr>
          <w:rFonts w:ascii="Times New Roman" w:eastAsia="Times New Roman" w:hAnsi="Times New Roman" w:cs="Times New Roman"/>
          <w:sz w:val="24"/>
          <w:szCs w:val="24"/>
        </w:rPr>
        <w:t xml:space="preserve"> grāmatas “Sudala ceļš” izdošanu EUR 400,00 apmērā. </w:t>
      </w:r>
    </w:p>
    <w:p w:rsidR="008637FC" w:rsidRDefault="00000000">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UZDOT </w:t>
      </w:r>
      <w:r>
        <w:rPr>
          <w:rFonts w:ascii="Times New Roman" w:eastAsia="Times New Roman" w:hAnsi="Times New Roman" w:cs="Times New Roman"/>
          <w:sz w:val="24"/>
          <w:szCs w:val="24"/>
        </w:rPr>
        <w:t xml:space="preserve">Gulbenes novada pašvaldības Kultūras komisijas sekretārei Dārtai </w:t>
      </w:r>
      <w:proofErr w:type="spellStart"/>
      <w:r>
        <w:rPr>
          <w:rFonts w:ascii="Times New Roman" w:eastAsia="Times New Roman" w:hAnsi="Times New Roman" w:cs="Times New Roman"/>
          <w:sz w:val="24"/>
          <w:szCs w:val="24"/>
        </w:rPr>
        <w:t>Vilnei</w:t>
      </w:r>
      <w:proofErr w:type="spellEnd"/>
      <w:r>
        <w:rPr>
          <w:rFonts w:ascii="Times New Roman" w:eastAsia="Times New Roman" w:hAnsi="Times New Roman" w:cs="Times New Roman"/>
          <w:sz w:val="24"/>
          <w:szCs w:val="24"/>
        </w:rPr>
        <w:t xml:space="preserve">  organizēt izraksta nosūtīšanu pa pastu uz adresi  [...] un uz e-pastu [...].</w:t>
      </w:r>
    </w:p>
    <w:p w:rsidR="008637FC" w:rsidRDefault="008637FC">
      <w:pPr>
        <w:spacing w:after="0" w:line="240" w:lineRule="auto"/>
        <w:ind w:left="720"/>
        <w:jc w:val="both"/>
        <w:rPr>
          <w:rFonts w:ascii="Times New Roman" w:eastAsia="Times New Roman" w:hAnsi="Times New Roman" w:cs="Times New Roman"/>
          <w:sz w:val="24"/>
          <w:szCs w:val="24"/>
        </w:rPr>
      </w:pPr>
    </w:p>
    <w:p w:rsidR="008637FC" w:rsidRDefault="008637FC">
      <w:pPr>
        <w:spacing w:after="0" w:line="240" w:lineRule="auto"/>
        <w:jc w:val="both"/>
        <w:rPr>
          <w:rFonts w:ascii="Times New Roman" w:eastAsia="Times New Roman" w:hAnsi="Times New Roman" w:cs="Times New Roman"/>
          <w:sz w:val="24"/>
          <w:szCs w:val="24"/>
        </w:rPr>
      </w:pPr>
    </w:p>
    <w:p w:rsidR="008637FC"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p>
    <w:p w:rsidR="008637FC"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Iesnieguma “Par līdzfinansējuma piešķiršanu deju konkursa braucienam Gulbenes iedzīvotājai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izskatīšanu</w:t>
      </w:r>
    </w:p>
    <w:p w:rsidR="008637FC" w:rsidRDefault="008637FC">
      <w:pPr>
        <w:pBdr>
          <w:bottom w:val="single" w:sz="12" w:space="1" w:color="000000"/>
        </w:pBdr>
        <w:spacing w:after="0" w:line="240" w:lineRule="auto"/>
        <w:rPr>
          <w:rFonts w:ascii="Times New Roman" w:eastAsia="Times New Roman" w:hAnsi="Times New Roman" w:cs="Times New Roman"/>
          <w:b/>
          <w:sz w:val="24"/>
          <w:szCs w:val="24"/>
        </w:rPr>
      </w:pPr>
    </w:p>
    <w:p w:rsidR="008637FC"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Ziņo:</w:t>
      </w:r>
      <w:r>
        <w:rPr>
          <w:rFonts w:ascii="Times New Roman" w:eastAsia="Times New Roman" w:hAnsi="Times New Roman" w:cs="Times New Roman"/>
          <w:sz w:val="24"/>
          <w:szCs w:val="24"/>
        </w:rPr>
        <w:t xml:space="preserve"> S. </w:t>
      </w:r>
      <w:proofErr w:type="spellStart"/>
      <w:r>
        <w:rPr>
          <w:rFonts w:ascii="Times New Roman" w:eastAsia="Times New Roman" w:hAnsi="Times New Roman" w:cs="Times New Roman"/>
          <w:sz w:val="24"/>
          <w:szCs w:val="24"/>
        </w:rPr>
        <w:t>Dikmane</w:t>
      </w:r>
      <w:proofErr w:type="spellEnd"/>
    </w:p>
    <w:p w:rsidR="008637FC"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Kultūras komisija ir saņēmusi [...] iesniegumu (13.06.2025. Nr. GND/5.15.1/25/1368-D) par līdzfinansējumu 3000,00 EUR apmērā deju kolektīva dalībnieces [...] braucienam uz prestižo starptautisko deju konkursu "</w:t>
      </w:r>
      <w:proofErr w:type="spellStart"/>
      <w:r>
        <w:rPr>
          <w:rFonts w:ascii="Times New Roman" w:eastAsia="Times New Roman" w:hAnsi="Times New Roman" w:cs="Times New Roman"/>
          <w:sz w:val="24"/>
          <w:szCs w:val="24"/>
        </w:rPr>
        <w:t>World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Dance" pārstāvēt Latviju, kas šovasar norisināsies Losandželosā, ASV, no 2025. gada 17. līdz 21. jūlijam.</w:t>
      </w:r>
    </w:p>
    <w:p w:rsidR="008637FC" w:rsidRDefault="008637FC">
      <w:pPr>
        <w:spacing w:after="0" w:line="240" w:lineRule="auto"/>
        <w:jc w:val="both"/>
        <w:rPr>
          <w:rFonts w:ascii="Times New Roman" w:eastAsia="Times New Roman" w:hAnsi="Times New Roman" w:cs="Times New Roman"/>
          <w:sz w:val="24"/>
          <w:szCs w:val="24"/>
        </w:rPr>
      </w:pPr>
    </w:p>
    <w:p w:rsidR="008637FC"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Izsakās:</w:t>
      </w:r>
    </w:p>
    <w:p w:rsidR="008637FC" w:rsidRDefault="00000000">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S.Dikmane</w:t>
      </w:r>
      <w:proofErr w:type="spellEnd"/>
      <w:r>
        <w:rPr>
          <w:rFonts w:ascii="Times New Roman" w:eastAsia="Times New Roman" w:hAnsi="Times New Roman" w:cs="Times New Roman"/>
          <w:sz w:val="24"/>
          <w:szCs w:val="24"/>
        </w:rPr>
        <w:t xml:space="preserve"> - Iesniegumu par atbalsta nepieciešamību esam saņēmuši no deju studijas “Dance Art </w:t>
      </w:r>
      <w:proofErr w:type="spellStart"/>
      <w:r>
        <w:rPr>
          <w:rFonts w:ascii="Times New Roman" w:eastAsia="Times New Roman" w:hAnsi="Times New Roman" w:cs="Times New Roman"/>
          <w:sz w:val="24"/>
          <w:szCs w:val="24"/>
        </w:rPr>
        <w:t>Studio</w:t>
      </w:r>
      <w:proofErr w:type="spellEnd"/>
      <w:r>
        <w:rPr>
          <w:rFonts w:ascii="Times New Roman" w:eastAsia="Times New Roman" w:hAnsi="Times New Roman" w:cs="Times New Roman"/>
          <w:sz w:val="24"/>
          <w:szCs w:val="24"/>
        </w:rPr>
        <w:t xml:space="preserve"> SUNRISE” vadītājas [...], kur tiek lūgti līdzekļi </w:t>
      </w:r>
      <w:r w:rsidR="00874420">
        <w:rPr>
          <w:rFonts w:ascii="Times New Roman" w:eastAsia="Times New Roman" w:hAnsi="Times New Roman" w:cs="Times New Roman"/>
          <w:sz w:val="24"/>
          <w:szCs w:val="24"/>
        </w:rPr>
        <w:t>3000,00 EUR</w:t>
      </w:r>
      <w:r>
        <w:rPr>
          <w:rFonts w:ascii="Times New Roman" w:eastAsia="Times New Roman" w:hAnsi="Times New Roman" w:cs="Times New Roman"/>
          <w:sz w:val="24"/>
          <w:szCs w:val="24"/>
        </w:rPr>
        <w:t xml:space="preserve"> izmitināšanai Losandželosā no 17. līdz 21. jūlijam. Esmu iepazinusies ar deju studijas vadītājas publikācijām vietnē </w:t>
      </w:r>
      <w:proofErr w:type="spellStart"/>
      <w:r>
        <w:rPr>
          <w:rFonts w:ascii="Times New Roman" w:eastAsia="Times New Roman" w:hAnsi="Times New Roman" w:cs="Times New Roman"/>
          <w:sz w:val="24"/>
          <w:szCs w:val="24"/>
        </w:rPr>
        <w:t>facebook</w:t>
      </w:r>
      <w:proofErr w:type="spellEnd"/>
      <w:r>
        <w:rPr>
          <w:rFonts w:ascii="Times New Roman" w:eastAsia="Times New Roman" w:hAnsi="Times New Roman" w:cs="Times New Roman"/>
          <w:sz w:val="24"/>
          <w:szCs w:val="24"/>
        </w:rPr>
        <w:t xml:space="preserve"> par deju studijas aktualitātēm, tajā skaitā ziņu par studijas dalību konkursā ASV. Tur ir uzrunāta sabiedrība un tiek vākti nepieciešamie līdzekļi. Pēc publikāciju satura var secināt, ka iespēja piedalīties šajā konkursā ir jāizcīna savlaicīgi. Šo projektu var uzskatīt par mērķtiecīgi plānotu un ilgtermiņā realizētu, kā zināms, tad ir jāplāno arī nepieciešamie </w:t>
      </w:r>
      <w:proofErr w:type="spellStart"/>
      <w:r>
        <w:rPr>
          <w:rFonts w:ascii="Times New Roman" w:eastAsia="Times New Roman" w:hAnsi="Times New Roman" w:cs="Times New Roman"/>
          <w:sz w:val="24"/>
          <w:szCs w:val="24"/>
        </w:rPr>
        <w:t>finansu</w:t>
      </w:r>
      <w:proofErr w:type="spellEnd"/>
      <w:r>
        <w:rPr>
          <w:rFonts w:ascii="Times New Roman" w:eastAsia="Times New Roman" w:hAnsi="Times New Roman" w:cs="Times New Roman"/>
          <w:sz w:val="24"/>
          <w:szCs w:val="24"/>
        </w:rPr>
        <w:t xml:space="preserve"> līdzekļi.  Ir apsveicama [...] mērķtiecība un ieguldītais darbs savas meistarības izaugsmē, tomēr GNP Kultūras komisijas budžetā 2025. gadā nav plānoti līdzekļi pieprasītajā apjomā.  Ierosinu neatbalstīt līdzfinansējuma piešķiršanu ierobežoto finanšu līdzekļu dēļ.           </w:t>
      </w:r>
    </w:p>
    <w:p w:rsidR="008637FC" w:rsidRDefault="008637FC">
      <w:pPr>
        <w:spacing w:after="0" w:line="240" w:lineRule="auto"/>
        <w:jc w:val="both"/>
        <w:rPr>
          <w:rFonts w:ascii="Times New Roman" w:eastAsia="Times New Roman" w:hAnsi="Times New Roman" w:cs="Times New Roman"/>
          <w:sz w:val="24"/>
          <w:szCs w:val="24"/>
        </w:rPr>
      </w:pPr>
    </w:p>
    <w:p w:rsidR="008637FC"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atklāti balsojot:</w:t>
      </w:r>
      <w:r>
        <w:rPr>
          <w:rFonts w:ascii="Times New Roman" w:eastAsia="Times New Roman" w:hAnsi="Times New Roman" w:cs="Times New Roman"/>
          <w:sz w:val="24"/>
          <w:szCs w:val="24"/>
        </w:rPr>
        <w:t xml:space="preserve"> PAR – – </w:t>
      </w:r>
      <w:r>
        <w:rPr>
          <w:rFonts w:ascii="Times New Roman" w:eastAsia="Times New Roman" w:hAnsi="Times New Roman" w:cs="Times New Roman"/>
          <w:color w:val="1A1A1A"/>
          <w:sz w:val="24"/>
          <w:szCs w:val="24"/>
          <w:u w:val="single"/>
        </w:rPr>
        <w:t>6</w:t>
      </w:r>
      <w:r>
        <w:rPr>
          <w:rFonts w:ascii="Times New Roman" w:eastAsia="Times New Roman" w:hAnsi="Times New Roman" w:cs="Times New Roman"/>
          <w:color w:val="1A1A1A"/>
          <w:sz w:val="24"/>
          <w:szCs w:val="24"/>
        </w:rPr>
        <w:t xml:space="preserve"> (S. </w:t>
      </w:r>
      <w:proofErr w:type="spellStart"/>
      <w:r>
        <w:rPr>
          <w:rFonts w:ascii="Times New Roman" w:eastAsia="Times New Roman" w:hAnsi="Times New Roman" w:cs="Times New Roman"/>
          <w:color w:val="1A1A1A"/>
          <w:sz w:val="24"/>
          <w:szCs w:val="24"/>
        </w:rPr>
        <w:t>Dikmane</w:t>
      </w:r>
      <w:proofErr w:type="spellEnd"/>
      <w:r>
        <w:rPr>
          <w:rFonts w:ascii="Times New Roman" w:eastAsia="Times New Roman" w:hAnsi="Times New Roman" w:cs="Times New Roman"/>
          <w:color w:val="1A1A1A"/>
          <w:sz w:val="24"/>
          <w:szCs w:val="24"/>
        </w:rPr>
        <w:t xml:space="preserve">, </w:t>
      </w:r>
      <w:proofErr w:type="spellStart"/>
      <w:r>
        <w:rPr>
          <w:rFonts w:ascii="Times New Roman" w:eastAsia="Times New Roman" w:hAnsi="Times New Roman" w:cs="Times New Roman"/>
          <w:color w:val="1A1A1A"/>
          <w:sz w:val="24"/>
          <w:szCs w:val="24"/>
        </w:rPr>
        <w:t>A.Brezinskis</w:t>
      </w:r>
      <w:proofErr w:type="spellEnd"/>
      <w:r>
        <w:rPr>
          <w:rFonts w:ascii="Times New Roman" w:eastAsia="Times New Roman" w:hAnsi="Times New Roman" w:cs="Times New Roman"/>
          <w:color w:val="1A1A1A"/>
          <w:sz w:val="24"/>
          <w:szCs w:val="24"/>
        </w:rPr>
        <w:t xml:space="preserve">, S. Zdanovska, </w:t>
      </w:r>
      <w:proofErr w:type="spellStart"/>
      <w:r>
        <w:rPr>
          <w:rFonts w:ascii="Times New Roman" w:eastAsia="Times New Roman" w:hAnsi="Times New Roman" w:cs="Times New Roman"/>
          <w:color w:val="1A1A1A"/>
          <w:sz w:val="24"/>
          <w:szCs w:val="24"/>
        </w:rPr>
        <w:t>S.Jefimova</w:t>
      </w:r>
      <w:proofErr w:type="spellEnd"/>
      <w:r>
        <w:rPr>
          <w:rFonts w:ascii="Times New Roman" w:eastAsia="Times New Roman" w:hAnsi="Times New Roman" w:cs="Times New Roman"/>
          <w:color w:val="1A1A1A"/>
          <w:sz w:val="24"/>
          <w:szCs w:val="24"/>
        </w:rPr>
        <w:t>,</w:t>
      </w:r>
      <w:r>
        <w:rPr>
          <w:rFonts w:ascii="Times New Roman" w:eastAsia="Times New Roman" w:hAnsi="Times New Roman" w:cs="Times New Roman"/>
          <w:sz w:val="24"/>
          <w:szCs w:val="24"/>
        </w:rPr>
        <w:t xml:space="preserve"> R. </w:t>
      </w:r>
      <w:proofErr w:type="spellStart"/>
      <w:r>
        <w:rPr>
          <w:rFonts w:ascii="Times New Roman" w:eastAsia="Times New Roman" w:hAnsi="Times New Roman" w:cs="Times New Roman"/>
          <w:sz w:val="24"/>
          <w:szCs w:val="24"/>
        </w:rPr>
        <w:t>Melders</w:t>
      </w:r>
      <w:proofErr w:type="spellEnd"/>
      <w:r>
        <w:rPr>
          <w:rFonts w:ascii="Times New Roman" w:eastAsia="Times New Roman" w:hAnsi="Times New Roman" w:cs="Times New Roman"/>
          <w:sz w:val="24"/>
          <w:szCs w:val="24"/>
        </w:rPr>
        <w:t>, V. Dārgais</w:t>
      </w:r>
      <w:r>
        <w:rPr>
          <w:rFonts w:ascii="Times New Roman" w:eastAsia="Times New Roman" w:hAnsi="Times New Roman" w:cs="Times New Roman"/>
          <w:color w:val="1A1A1A"/>
          <w:sz w:val="24"/>
          <w:szCs w:val="24"/>
        </w:rPr>
        <w:t>)</w:t>
      </w:r>
      <w:r>
        <w:rPr>
          <w:rFonts w:ascii="Times New Roman" w:eastAsia="Times New Roman" w:hAnsi="Times New Roman" w:cs="Times New Roman"/>
          <w:sz w:val="24"/>
          <w:szCs w:val="24"/>
        </w:rPr>
        <w:t xml:space="preserve">; PRET – </w:t>
      </w:r>
      <w:r>
        <w:rPr>
          <w:rFonts w:ascii="Times New Roman" w:eastAsia="Times New Roman" w:hAnsi="Times New Roman" w:cs="Times New Roman"/>
          <w:sz w:val="24"/>
          <w:szCs w:val="24"/>
          <w:u w:val="single"/>
        </w:rPr>
        <w:t>nav</w:t>
      </w:r>
      <w:r>
        <w:rPr>
          <w:rFonts w:ascii="Times New Roman" w:eastAsia="Times New Roman" w:hAnsi="Times New Roman" w:cs="Times New Roman"/>
          <w:sz w:val="24"/>
          <w:szCs w:val="24"/>
        </w:rPr>
        <w:t xml:space="preserve">; ATTURAS – </w:t>
      </w:r>
      <w:r>
        <w:rPr>
          <w:rFonts w:ascii="Times New Roman" w:eastAsia="Times New Roman" w:hAnsi="Times New Roman" w:cs="Times New Roman"/>
          <w:sz w:val="24"/>
          <w:szCs w:val="24"/>
          <w:u w:val="single"/>
        </w:rPr>
        <w:t>nav</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Gulbenes novada pašvaldības Kultūras komisija NOLEMJ:</w:t>
      </w:r>
    </w:p>
    <w:p w:rsidR="008637FC" w:rsidRDefault="00000000">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NEATBALSTĪT </w:t>
      </w:r>
      <w:r>
        <w:rPr>
          <w:rFonts w:ascii="Times New Roman" w:eastAsia="Times New Roman" w:hAnsi="Times New Roman" w:cs="Times New Roman"/>
          <w:sz w:val="24"/>
          <w:szCs w:val="24"/>
        </w:rPr>
        <w:t xml:space="preserve">līdzfinansējuma piešķiršanu deju konkursa braucienam Gulbenes iedzīvotājai [...] ierobežoto Kultūras komisijas finanšu  resursu dēļ. </w:t>
      </w:r>
    </w:p>
    <w:p w:rsidR="008637FC" w:rsidRDefault="00000000">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UZDOT </w:t>
      </w:r>
      <w:r>
        <w:rPr>
          <w:rFonts w:ascii="Times New Roman" w:eastAsia="Times New Roman" w:hAnsi="Times New Roman" w:cs="Times New Roman"/>
          <w:sz w:val="24"/>
          <w:szCs w:val="24"/>
        </w:rPr>
        <w:t xml:space="preserve">Gulbenes novada pašvaldības Kultūras komisijas sekretārei Dārtai </w:t>
      </w:r>
      <w:proofErr w:type="spellStart"/>
      <w:r>
        <w:rPr>
          <w:rFonts w:ascii="Times New Roman" w:eastAsia="Times New Roman" w:hAnsi="Times New Roman" w:cs="Times New Roman"/>
          <w:sz w:val="24"/>
          <w:szCs w:val="24"/>
        </w:rPr>
        <w:t>Vilnei</w:t>
      </w:r>
      <w:proofErr w:type="spellEnd"/>
      <w:r>
        <w:rPr>
          <w:rFonts w:ascii="Times New Roman" w:eastAsia="Times New Roman" w:hAnsi="Times New Roman" w:cs="Times New Roman"/>
          <w:sz w:val="24"/>
          <w:szCs w:val="24"/>
        </w:rPr>
        <w:t xml:space="preserve">  nosūtīt izrakstu uz e-pastu [...]. </w:t>
      </w:r>
    </w:p>
    <w:p w:rsidR="008637FC" w:rsidRDefault="008637FC">
      <w:pPr>
        <w:spacing w:after="0" w:line="240" w:lineRule="auto"/>
        <w:jc w:val="both"/>
        <w:rPr>
          <w:rFonts w:ascii="Times New Roman" w:eastAsia="Times New Roman" w:hAnsi="Times New Roman" w:cs="Times New Roman"/>
          <w:sz w:val="24"/>
          <w:szCs w:val="24"/>
        </w:rPr>
      </w:pPr>
    </w:p>
    <w:p w:rsidR="008637FC"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Sēdi slēdz 2025. gada 27. jūnijā plkst. 11:00.</w:t>
      </w:r>
    </w:p>
    <w:p w:rsidR="008637FC" w:rsidRDefault="008637FC">
      <w:pPr>
        <w:spacing w:after="0" w:line="240" w:lineRule="auto"/>
        <w:jc w:val="both"/>
        <w:rPr>
          <w:rFonts w:ascii="Times New Roman" w:eastAsia="Times New Roman" w:hAnsi="Times New Roman" w:cs="Times New Roman"/>
          <w:sz w:val="24"/>
          <w:szCs w:val="24"/>
        </w:rPr>
      </w:pPr>
    </w:p>
    <w:p w:rsidR="008637FC"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Kultūras komisijas priekšsēdētāja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S. </w:t>
      </w:r>
      <w:proofErr w:type="spellStart"/>
      <w:r>
        <w:rPr>
          <w:rFonts w:ascii="Times New Roman" w:eastAsia="Times New Roman" w:hAnsi="Times New Roman" w:cs="Times New Roman"/>
          <w:sz w:val="24"/>
          <w:szCs w:val="24"/>
        </w:rPr>
        <w:t>Dikmane</w:t>
      </w:r>
      <w:proofErr w:type="spellEnd"/>
    </w:p>
    <w:p w:rsidR="008637FC"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Sēdi protokolēja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D.Vilne</w:t>
      </w:r>
      <w:proofErr w:type="spellEnd"/>
    </w:p>
    <w:p w:rsidR="008637FC" w:rsidRDefault="008637FC">
      <w:pPr>
        <w:spacing w:after="0" w:line="240" w:lineRule="auto"/>
        <w:jc w:val="center"/>
        <w:rPr>
          <w:rFonts w:ascii="Times New Roman" w:eastAsia="Times New Roman" w:hAnsi="Times New Roman" w:cs="Times New Roman"/>
          <w:i/>
          <w:color w:val="666666"/>
          <w:sz w:val="24"/>
          <w:szCs w:val="24"/>
        </w:rPr>
      </w:pPr>
    </w:p>
    <w:p w:rsidR="008637FC" w:rsidRDefault="00000000">
      <w:pPr>
        <w:spacing w:after="0" w:line="240" w:lineRule="auto"/>
        <w:jc w:val="center"/>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Šis dokuments ir parakstīts ar drošu elektronisko parakstu un satur laika zīmogu</w:t>
      </w:r>
    </w:p>
    <w:sectPr w:rsidR="008637FC">
      <w:footerReference w:type="even" r:id="rId9"/>
      <w:footerReference w:type="default" r:id="rId10"/>
      <w:pgSz w:w="11906" w:h="16838"/>
      <w:pgMar w:top="1134" w:right="851"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72FB7" w:rsidRDefault="00C72FB7">
      <w:pPr>
        <w:spacing w:after="0" w:line="240" w:lineRule="auto"/>
      </w:pPr>
      <w:r>
        <w:separator/>
      </w:r>
    </w:p>
  </w:endnote>
  <w:endnote w:type="continuationSeparator" w:id="0">
    <w:p w:rsidR="00C72FB7" w:rsidRDefault="00C72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637FC" w:rsidRDefault="00000000">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p w:rsidR="008637FC" w:rsidRDefault="008637FC">
    <w:pPr>
      <w:pBdr>
        <w:top w:val="nil"/>
        <w:left w:val="nil"/>
        <w:bottom w:val="nil"/>
        <w:right w:val="nil"/>
        <w:between w:val="nil"/>
      </w:pBdr>
      <w:tabs>
        <w:tab w:val="center" w:pos="4153"/>
        <w:tab w:val="right" w:pos="8306"/>
      </w:tabs>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637FC" w:rsidRDefault="00000000">
    <w:pPr>
      <w:pBdr>
        <w:top w:val="nil"/>
        <w:left w:val="nil"/>
        <w:bottom w:val="nil"/>
        <w:right w:val="nil"/>
        <w:between w:val="nil"/>
      </w:pBdr>
      <w:tabs>
        <w:tab w:val="center" w:pos="4153"/>
        <w:tab w:val="right" w:pos="8306"/>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874420">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rsidR="008637FC" w:rsidRDefault="008637FC">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72FB7" w:rsidRDefault="00C72FB7">
      <w:pPr>
        <w:spacing w:after="0" w:line="240" w:lineRule="auto"/>
      </w:pPr>
      <w:r>
        <w:separator/>
      </w:r>
    </w:p>
  </w:footnote>
  <w:footnote w:type="continuationSeparator" w:id="0">
    <w:p w:rsidR="00C72FB7" w:rsidRDefault="00C72F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1B42E0"/>
    <w:multiLevelType w:val="multilevel"/>
    <w:tmpl w:val="762AB454"/>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230E18FF"/>
    <w:multiLevelType w:val="multilevel"/>
    <w:tmpl w:val="63E490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BA56167"/>
    <w:multiLevelType w:val="multilevel"/>
    <w:tmpl w:val="FB5CC0AA"/>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16cid:durableId="1875774064">
    <w:abstractNumId w:val="2"/>
  </w:num>
  <w:num w:numId="2" w16cid:durableId="1412435153">
    <w:abstractNumId w:val="1"/>
  </w:num>
  <w:num w:numId="3" w16cid:durableId="1052384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7FC"/>
    <w:rsid w:val="00136E1A"/>
    <w:rsid w:val="008637FC"/>
    <w:rsid w:val="00874420"/>
    <w:rsid w:val="00C72FB7"/>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decimalSymbol w:val=","/>
  <w:listSeparator w:val=","/>
  <w14:docId w14:val="362F1537"/>
  <w15:docId w15:val="{7E45F5CD-BAA3-904F-A2CC-EEC19FB09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v"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0" w:type="dxa"/>
        <w:left w:w="0" w:type="dxa"/>
        <w:bottom w:w="0" w:type="dxa"/>
        <w:right w:w="0" w:type="dxa"/>
      </w:tblCellMar>
    </w:tblPr>
  </w:style>
  <w:style w:type="table" w:customStyle="1" w:styleId="a">
    <w:basedOn w:val="TableNormal"/>
    <w:tblPr>
      <w:tblStyleRowBandSize w:val="1"/>
      <w:tblStyleColBandSize w:val="1"/>
      <w:tblCellMar>
        <w:top w:w="100" w:type="dxa"/>
        <w:left w:w="115" w:type="dxa"/>
        <w:bottom w:w="100" w:type="dxa"/>
        <w:right w:w="115" w:type="dxa"/>
      </w:tblCellMar>
    </w:tblPr>
  </w:style>
  <w:style w:type="table" w:customStyle="1" w:styleId="a0">
    <w:basedOn w:val="TableNormal"/>
    <w:tblPr>
      <w:tblStyleRowBandSize w:val="1"/>
      <w:tblStyleColBandSize w:val="1"/>
      <w:tblCellMar>
        <w:top w:w="100" w:type="dxa"/>
        <w:left w:w="115" w:type="dxa"/>
        <w:bottom w:w="100" w:type="dxa"/>
        <w:right w:w="115" w:type="dxa"/>
      </w:tblCellMar>
    </w:tblPr>
  </w:style>
  <w:style w:type="table" w:customStyle="1" w:styleId="a1">
    <w:basedOn w:val="TableNormal"/>
    <w:tblPr>
      <w:tblStyleRowBandSize w:val="1"/>
      <w:tblStyleColBandSize w:val="1"/>
      <w:tblCellMar>
        <w:top w:w="100" w:type="dxa"/>
        <w:left w:w="115" w:type="dxa"/>
        <w:bottom w:w="100" w:type="dxa"/>
        <w:right w:w="115" w:type="dxa"/>
      </w:tblCellMar>
    </w:tblPr>
  </w:style>
  <w:style w:type="table" w:customStyle="1" w:styleId="a2">
    <w:basedOn w:val="TableNormal"/>
    <w:tblPr>
      <w:tblStyleRowBandSize w:val="1"/>
      <w:tblStyleColBandSize w:val="1"/>
      <w:tblCellMar>
        <w:top w:w="100" w:type="dxa"/>
        <w:left w:w="115" w:type="dxa"/>
        <w:bottom w:w="100" w:type="dxa"/>
        <w:right w:w="115" w:type="dxa"/>
      </w:tblCellMar>
    </w:tblPr>
  </w:style>
  <w:style w:type="table" w:customStyle="1" w:styleId="a3">
    <w:basedOn w:val="TableNormal"/>
    <w:tblPr>
      <w:tblStyleRowBandSize w:val="1"/>
      <w:tblStyleColBandSize w:val="1"/>
      <w:tblCellMar>
        <w:top w:w="100" w:type="dxa"/>
        <w:left w:w="115" w:type="dxa"/>
        <w:bottom w:w="100" w:type="dxa"/>
        <w:right w:w="115" w:type="dxa"/>
      </w:tblCellMar>
    </w:tblPr>
  </w:style>
  <w:style w:type="table" w:customStyle="1" w:styleId="a4">
    <w:basedOn w:val="TableNormal"/>
    <w:tblPr>
      <w:tblStyleRowBandSize w:val="1"/>
      <w:tblStyleColBandSize w:val="1"/>
      <w:tblCellMar>
        <w:top w:w="100" w:type="dxa"/>
        <w:left w:w="115" w:type="dxa"/>
        <w:bottom w:w="100" w:type="dxa"/>
        <w:right w:w="115" w:type="dxa"/>
      </w:tblCellMar>
    </w:tblPr>
  </w:style>
  <w:style w:type="paragraph" w:styleId="ListParagraph">
    <w:name w:val="List Paragraph"/>
    <w:aliases w:val="1List Paragraph"/>
    <w:basedOn w:val="Normal"/>
    <w:link w:val="ListParagraphChar"/>
    <w:uiPriority w:val="34"/>
    <w:qFormat/>
    <w:rsid w:val="000E1ACC"/>
    <w:pPr>
      <w:ind w:left="720"/>
      <w:contextualSpacing/>
    </w:pPr>
  </w:style>
  <w:style w:type="paragraph" w:styleId="NormalWeb">
    <w:name w:val="Normal (Web)"/>
    <w:basedOn w:val="Normal"/>
    <w:uiPriority w:val="99"/>
    <w:semiHidden/>
    <w:unhideWhenUsed/>
    <w:rsid w:val="00E010F4"/>
    <w:rPr>
      <w:rFonts w:ascii="Times New Roman" w:hAnsi="Times New Roman" w:cs="Times New Roman"/>
      <w:sz w:val="24"/>
      <w:szCs w:val="24"/>
    </w:rPr>
  </w:style>
  <w:style w:type="table" w:styleId="TableGrid">
    <w:name w:val="Table Grid"/>
    <w:basedOn w:val="TableNormal"/>
    <w:uiPriority w:val="39"/>
    <w:rsid w:val="00B523A2"/>
    <w:pPr>
      <w:spacing w:after="0" w:line="240" w:lineRule="auto"/>
    </w:pPr>
    <w:rPr>
      <w:rFonts w:asciiTheme="minorHAnsi" w:eastAsiaTheme="minorHAnsi" w:hAnsiTheme="minorHAnsi" w:cstheme="minorBidi"/>
      <w:lang w:val="lv-L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1List Paragraph Char"/>
    <w:link w:val="ListParagraph"/>
    <w:uiPriority w:val="34"/>
    <w:locked/>
    <w:rsid w:val="00DB71A2"/>
  </w:style>
  <w:style w:type="table" w:customStyle="1" w:styleId="a5">
    <w:basedOn w:val="TableNormal"/>
    <w:tblPr>
      <w:tblStyleRowBandSize w:val="1"/>
      <w:tblStyleColBandSize w:val="1"/>
      <w:tblCellMar>
        <w:top w:w="100" w:type="dxa"/>
        <w:left w:w="115" w:type="dxa"/>
        <w:bottom w:w="100" w:type="dxa"/>
        <w:right w:w="115" w:type="dxa"/>
      </w:tblCellMar>
    </w:tblPr>
  </w:style>
  <w:style w:type="table" w:customStyle="1" w:styleId="a6">
    <w:basedOn w:val="TableNormal"/>
    <w:pPr>
      <w:spacing w:after="0" w:line="240" w:lineRule="auto"/>
    </w:pPr>
    <w:rPr>
      <w:rFonts w:ascii="Cambria" w:eastAsia="Cambria" w:hAnsi="Cambria" w:cs="Cambria"/>
    </w:rPr>
    <w:tblPr>
      <w:tblStyleRowBandSize w:val="1"/>
      <w:tblStyleColBandSize w:val="1"/>
    </w:tblPr>
  </w:style>
  <w:style w:type="table" w:customStyle="1" w:styleId="a7">
    <w:basedOn w:val="TableNormal"/>
    <w:pPr>
      <w:spacing w:after="0" w:line="240" w:lineRule="auto"/>
    </w:pPr>
    <w:rPr>
      <w:rFonts w:ascii="Cambria" w:eastAsia="Cambria" w:hAnsi="Cambria" w:cs="Cambria"/>
    </w:rPr>
    <w:tblPr>
      <w:tblStyleRowBandSize w:val="1"/>
      <w:tblStyleColBandSize w:val="1"/>
    </w:tblPr>
  </w:style>
  <w:style w:type="character" w:styleId="Hyperlink">
    <w:name w:val="Hyperlink"/>
    <w:basedOn w:val="DefaultParagraphFont"/>
    <w:uiPriority w:val="99"/>
    <w:unhideWhenUsed/>
    <w:rsid w:val="00540B66"/>
    <w:rPr>
      <w:color w:val="0000FF" w:themeColor="hyperlink"/>
      <w:u w:val="single"/>
    </w:rPr>
  </w:style>
  <w:style w:type="character" w:styleId="UnresolvedMention">
    <w:name w:val="Unresolved Mention"/>
    <w:basedOn w:val="DefaultParagraphFont"/>
    <w:uiPriority w:val="99"/>
    <w:semiHidden/>
    <w:unhideWhenUsed/>
    <w:rsid w:val="00540B66"/>
    <w:rPr>
      <w:color w:val="605E5C"/>
      <w:shd w:val="clear" w:color="auto" w:fill="E1DFDD"/>
    </w:rPr>
  </w:style>
  <w:style w:type="character" w:styleId="FollowedHyperlink">
    <w:name w:val="FollowedHyperlink"/>
    <w:basedOn w:val="DefaultParagraphFont"/>
    <w:uiPriority w:val="99"/>
    <w:semiHidden/>
    <w:unhideWhenUsed/>
    <w:rsid w:val="00540B66"/>
    <w:rPr>
      <w:color w:val="800080" w:themeColor="followedHyperlink"/>
      <w:u w:val="single"/>
    </w:rPr>
  </w:style>
  <w:style w:type="table" w:customStyle="1" w:styleId="a8">
    <w:basedOn w:val="TableNormal"/>
    <w:tblPr>
      <w:tblStyleRowBandSize w:val="1"/>
      <w:tblStyleColBandSize w:val="1"/>
      <w:tblCellMar>
        <w:top w:w="100" w:type="dxa"/>
        <w:left w:w="115" w:type="dxa"/>
        <w:bottom w:w="100"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9">
    <w:basedOn w:val="TableNormal"/>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2D/NIMWHsLlD91tVA9CvPTqb/g==">CgMxLjAyCGguZ2pkZ3hzOAByITFmT2NXU0hLY2tZbEd0MGU4Wk0yQkhHME9yU2wwbXJWUA==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678</Words>
  <Characters>3870</Characters>
  <Application>Microsoft Office Word</Application>
  <DocSecurity>0</DocSecurity>
  <Lines>32</Lines>
  <Paragraphs>9</Paragraphs>
  <ScaleCrop>false</ScaleCrop>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2025-06-02T08:29:00Z</dcterms:created>
  <dcterms:modified xsi:type="dcterms:W3CDTF">2025-07-01T13:03:00Z</dcterms:modified>
</cp:coreProperties>
</file>