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E635" w14:textId="5BCC31D4" w:rsidR="005515F8" w:rsidRDefault="005515F8" w:rsidP="00BE58A8">
      <w:pPr>
        <w:pStyle w:val="Virsraksts1"/>
        <w:tabs>
          <w:tab w:val="left" w:pos="0"/>
        </w:tabs>
        <w:ind w:left="0" w:firstLine="0"/>
        <w:jc w:val="right"/>
        <w:rPr>
          <w:rFonts w:eastAsia="Calibr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A55EF0" w14:textId="11E041BD" w:rsidR="005515F8" w:rsidRPr="0016326A" w:rsidRDefault="005515F8" w:rsidP="00BE58A8">
      <w:pPr>
        <w:pStyle w:val="Virsraksts1"/>
        <w:tabs>
          <w:tab w:val="left" w:pos="0"/>
        </w:tabs>
        <w:ind w:left="0" w:firstLine="0"/>
        <w:jc w:val="center"/>
        <w:rPr>
          <w:rFonts w:eastAsia="Calibr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326A">
        <w:rPr>
          <w:rFonts w:eastAsia="Calibr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TEHNISKĀ SPECIFIKĀCIJA</w:t>
      </w:r>
      <w:r w:rsidR="00512B03">
        <w:rPr>
          <w:rFonts w:eastAsia="Calibr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TEHNISKAIS PIEDĀVĀJUMS</w:t>
      </w:r>
    </w:p>
    <w:p w14:paraId="5F37F54D" w14:textId="684EF329" w:rsidR="005515F8" w:rsidRPr="0016326A" w:rsidRDefault="005515F8" w:rsidP="00BE58A8">
      <w:pPr>
        <w:ind w:right="-625"/>
        <w:jc w:val="center"/>
        <w:rPr>
          <w:rFonts w:eastAsia="Calibri"/>
          <w:b/>
          <w:sz w:val="24"/>
          <w:szCs w:val="24"/>
          <w:lang w:val="lv-LV"/>
        </w:rPr>
      </w:pPr>
      <w:r w:rsidRPr="0016326A">
        <w:rPr>
          <w:rFonts w:eastAsia="Calibri"/>
          <w:b/>
          <w:sz w:val="24"/>
          <w:szCs w:val="24"/>
          <w:lang w:val="lv-LV"/>
        </w:rPr>
        <w:t xml:space="preserve">“Bīstamo koku zāģēšana un koku vainagu kopšana </w:t>
      </w:r>
      <w:r>
        <w:rPr>
          <w:rFonts w:eastAsia="Calibri"/>
          <w:b/>
          <w:sz w:val="24"/>
          <w:szCs w:val="24"/>
          <w:lang w:val="lv-LV"/>
        </w:rPr>
        <w:t>Gulbenes novadā 2022. gadā</w:t>
      </w:r>
      <w:r w:rsidRPr="0016326A">
        <w:rPr>
          <w:rFonts w:eastAsia="Calibri"/>
          <w:b/>
          <w:sz w:val="24"/>
          <w:szCs w:val="24"/>
          <w:lang w:val="lv-LV"/>
        </w:rPr>
        <w:t>”</w:t>
      </w:r>
    </w:p>
    <w:p w14:paraId="00CA7C32" w14:textId="3F60D70D" w:rsidR="005515F8" w:rsidRPr="0016326A" w:rsidRDefault="005515F8" w:rsidP="00BE58A8">
      <w:pPr>
        <w:jc w:val="center"/>
        <w:rPr>
          <w:rFonts w:eastAsia="Calibri"/>
          <w:b/>
          <w:sz w:val="24"/>
          <w:szCs w:val="24"/>
          <w:lang w:val="lv-LV"/>
        </w:rPr>
      </w:pPr>
      <w:r w:rsidRPr="0016326A">
        <w:rPr>
          <w:rFonts w:eastAsia="Calibri"/>
          <w:i/>
          <w:sz w:val="24"/>
          <w:szCs w:val="24"/>
          <w:lang w:val="lv-LV"/>
        </w:rPr>
        <w:t xml:space="preserve">identifikācijas numurs </w:t>
      </w:r>
      <w:r w:rsidR="00567840">
        <w:rPr>
          <w:rFonts w:eastAsia="Calibri"/>
          <w:i/>
          <w:sz w:val="24"/>
          <w:szCs w:val="24"/>
          <w:lang w:val="lv-LV"/>
        </w:rPr>
        <w:t>GNP/2022/TI/9</w:t>
      </w:r>
    </w:p>
    <w:p w14:paraId="730B28E2" w14:textId="77777777" w:rsidR="005515F8" w:rsidRPr="00B977CA" w:rsidRDefault="005515F8" w:rsidP="00BE58A8">
      <w:pPr>
        <w:jc w:val="center"/>
        <w:rPr>
          <w:color w:val="FF0000"/>
          <w:lang w:val="lv-LV"/>
        </w:rPr>
      </w:pPr>
    </w:p>
    <w:p w14:paraId="0E2C5214" w14:textId="77777777" w:rsidR="005515F8" w:rsidRDefault="005515F8" w:rsidP="00AB251C">
      <w:pPr>
        <w:pStyle w:val="Sarakstarindkopa"/>
        <w:numPr>
          <w:ilvl w:val="0"/>
          <w:numId w:val="1"/>
        </w:numPr>
        <w:jc w:val="both"/>
        <w:rPr>
          <w:bCs/>
          <w:sz w:val="24"/>
          <w:szCs w:val="24"/>
          <w:lang w:val="lv-LV"/>
        </w:rPr>
      </w:pPr>
      <w:r w:rsidRPr="00F000F7">
        <w:rPr>
          <w:b/>
          <w:bCs/>
          <w:sz w:val="24"/>
          <w:szCs w:val="24"/>
          <w:lang w:val="lv-LV"/>
        </w:rPr>
        <w:t>Veicamie darbi</w:t>
      </w:r>
      <w:r w:rsidRPr="00F000F7">
        <w:rPr>
          <w:bCs/>
          <w:sz w:val="24"/>
          <w:szCs w:val="24"/>
          <w:lang w:val="lv-LV"/>
        </w:rPr>
        <w:t>:</w:t>
      </w:r>
    </w:p>
    <w:p w14:paraId="55557E8A" w14:textId="77777777" w:rsidR="005515F8" w:rsidRPr="00F000F7" w:rsidRDefault="005515F8" w:rsidP="00AB251C">
      <w:pPr>
        <w:pStyle w:val="Sarakstarindkopa"/>
        <w:numPr>
          <w:ilvl w:val="1"/>
          <w:numId w:val="1"/>
        </w:numPr>
        <w:jc w:val="both"/>
        <w:rPr>
          <w:bCs/>
          <w:sz w:val="24"/>
          <w:szCs w:val="24"/>
          <w:lang w:val="lv-LV"/>
        </w:rPr>
      </w:pPr>
      <w:r w:rsidRPr="00F000F7">
        <w:rPr>
          <w:b/>
          <w:bCs/>
          <w:sz w:val="24"/>
          <w:szCs w:val="24"/>
          <w:lang w:val="lv-LV"/>
        </w:rPr>
        <w:t>Bīstamo koku gāšana</w:t>
      </w:r>
      <w:r w:rsidRPr="00F000F7">
        <w:rPr>
          <w:sz w:val="24"/>
          <w:szCs w:val="24"/>
          <w:lang w:val="lv-LV"/>
        </w:rPr>
        <w:t xml:space="preserve"> (koku nozāģēšana gāžot no celma, neizmantojot pacelšanas tehniku, kāpnes vai virves)</w:t>
      </w:r>
      <w:r>
        <w:rPr>
          <w:sz w:val="24"/>
          <w:szCs w:val="24"/>
          <w:lang w:val="lv-LV"/>
        </w:rPr>
        <w:t>;</w:t>
      </w:r>
    </w:p>
    <w:p w14:paraId="4BE45397" w14:textId="77777777" w:rsidR="005515F8" w:rsidRPr="00F000F7" w:rsidRDefault="005515F8" w:rsidP="00AB251C">
      <w:pPr>
        <w:pStyle w:val="Sarakstarindkopa"/>
        <w:numPr>
          <w:ilvl w:val="1"/>
          <w:numId w:val="1"/>
        </w:numPr>
        <w:jc w:val="both"/>
        <w:rPr>
          <w:bCs/>
          <w:sz w:val="24"/>
          <w:szCs w:val="24"/>
          <w:lang w:val="lv-LV"/>
        </w:rPr>
      </w:pPr>
      <w:r w:rsidRPr="00F000F7">
        <w:rPr>
          <w:b/>
          <w:bCs/>
          <w:sz w:val="24"/>
          <w:szCs w:val="24"/>
          <w:lang w:val="lv-LV"/>
        </w:rPr>
        <w:t>Bīstamo koku nozāģēšana pa daļām</w:t>
      </w:r>
      <w:r w:rsidRPr="00F000F7">
        <w:rPr>
          <w:sz w:val="24"/>
          <w:szCs w:val="24"/>
          <w:lang w:val="lv-LV"/>
        </w:rPr>
        <w:t xml:space="preserve"> (nozāģēt koku pa daļām, tās kontrolēti nolaižot uz zemes izmantojot pacelšanas tehniku, kāpnes vai virves)</w:t>
      </w:r>
      <w:r>
        <w:rPr>
          <w:sz w:val="24"/>
          <w:szCs w:val="24"/>
          <w:lang w:val="lv-LV"/>
        </w:rPr>
        <w:t>;</w:t>
      </w:r>
    </w:p>
    <w:p w14:paraId="1167B16F" w14:textId="77777777" w:rsidR="005515F8" w:rsidRPr="00F000F7" w:rsidRDefault="005515F8" w:rsidP="00AB251C">
      <w:pPr>
        <w:pStyle w:val="Sarakstarindkopa"/>
        <w:numPr>
          <w:ilvl w:val="1"/>
          <w:numId w:val="1"/>
        </w:numPr>
        <w:jc w:val="both"/>
        <w:rPr>
          <w:bCs/>
          <w:sz w:val="24"/>
          <w:szCs w:val="24"/>
          <w:lang w:val="lv-LV"/>
        </w:rPr>
      </w:pPr>
      <w:r w:rsidRPr="00F000F7">
        <w:rPr>
          <w:b/>
          <w:bCs/>
          <w:sz w:val="24"/>
          <w:szCs w:val="24"/>
          <w:lang w:val="lv-LV"/>
        </w:rPr>
        <w:t xml:space="preserve">Koku vainagu veidošana, kopšana </w:t>
      </w:r>
      <w:r w:rsidRPr="00F000F7">
        <w:rPr>
          <w:sz w:val="24"/>
          <w:szCs w:val="24"/>
          <w:lang w:val="lv-LV"/>
        </w:rPr>
        <w:t>(vainaga tīrīšana, kalstošu, slimu, krustojošos, karājošos, vāji iestiprinātu, atpalikušu zaru nozāģēšana</w:t>
      </w:r>
      <w:r>
        <w:rPr>
          <w:sz w:val="24"/>
          <w:szCs w:val="24"/>
          <w:lang w:val="lv-LV"/>
        </w:rPr>
        <w:t>, vainaga pacelšana</w:t>
      </w:r>
      <w:r w:rsidRPr="00F000F7">
        <w:rPr>
          <w:sz w:val="24"/>
          <w:szCs w:val="24"/>
          <w:lang w:val="lv-LV"/>
        </w:rPr>
        <w:t>)</w:t>
      </w:r>
      <w:r>
        <w:rPr>
          <w:sz w:val="24"/>
          <w:szCs w:val="24"/>
          <w:lang w:val="lv-LV"/>
        </w:rPr>
        <w:t>;</w:t>
      </w:r>
    </w:p>
    <w:p w14:paraId="520EA02D" w14:textId="77777777" w:rsidR="005515F8" w:rsidRPr="00F000F7" w:rsidRDefault="005515F8" w:rsidP="00AB251C">
      <w:pPr>
        <w:pStyle w:val="Sarakstarindkopa"/>
        <w:numPr>
          <w:ilvl w:val="1"/>
          <w:numId w:val="1"/>
        </w:numPr>
        <w:jc w:val="both"/>
        <w:rPr>
          <w:bCs/>
          <w:sz w:val="24"/>
          <w:szCs w:val="24"/>
          <w:lang w:val="lv-LV"/>
        </w:rPr>
      </w:pPr>
      <w:r w:rsidRPr="00F000F7">
        <w:rPr>
          <w:b/>
          <w:bCs/>
          <w:sz w:val="24"/>
          <w:szCs w:val="24"/>
          <w:lang w:val="lv-LV"/>
        </w:rPr>
        <w:t xml:space="preserve">Nozāģētās koksnes savākšana </w:t>
      </w:r>
      <w:r w:rsidRPr="00F000F7">
        <w:rPr>
          <w:sz w:val="24"/>
          <w:szCs w:val="24"/>
          <w:lang w:val="lv-LV"/>
        </w:rPr>
        <w:t>(nozāģētās koksnes, zaru, skaidu savākšana), zaru un koksnes atlikumu utilizācija, koksnes nogādāšana uz ar Pasūtītāju saskaņotu krautuvi.</w:t>
      </w:r>
    </w:p>
    <w:p w14:paraId="1623C8AC" w14:textId="77777777" w:rsidR="005515F8" w:rsidRPr="00B977CA" w:rsidRDefault="005515F8" w:rsidP="00AB251C">
      <w:pPr>
        <w:jc w:val="both"/>
        <w:rPr>
          <w:bCs/>
          <w:sz w:val="24"/>
          <w:szCs w:val="24"/>
          <w:lang w:val="lv-LV"/>
        </w:rPr>
      </w:pPr>
    </w:p>
    <w:p w14:paraId="75D63EA8" w14:textId="77777777" w:rsidR="005515F8" w:rsidRDefault="005515F8" w:rsidP="00AB251C">
      <w:pPr>
        <w:jc w:val="both"/>
        <w:rPr>
          <w:b/>
          <w:bCs/>
          <w:sz w:val="16"/>
          <w:szCs w:val="16"/>
          <w:lang w:val="lv-LV"/>
        </w:rPr>
      </w:pPr>
    </w:p>
    <w:p w14:paraId="372E9A82" w14:textId="40D63B92" w:rsidR="005515F8" w:rsidRPr="0004433B" w:rsidRDefault="005515F8" w:rsidP="00AB251C">
      <w:pPr>
        <w:pStyle w:val="Sarakstarindkopa"/>
        <w:numPr>
          <w:ilvl w:val="0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F000F7">
        <w:rPr>
          <w:b/>
          <w:bCs/>
          <w:sz w:val="24"/>
          <w:szCs w:val="24"/>
          <w:lang w:val="lv-LV"/>
        </w:rPr>
        <w:t>Veicamo darbu apjoms</w:t>
      </w:r>
      <w:r>
        <w:rPr>
          <w:b/>
          <w:bCs/>
          <w:sz w:val="24"/>
          <w:szCs w:val="24"/>
          <w:lang w:val="lv-LV"/>
        </w:rPr>
        <w:t xml:space="preserve"> - </w:t>
      </w:r>
      <w:r w:rsidRPr="00F000F7">
        <w:rPr>
          <w:sz w:val="24"/>
          <w:szCs w:val="24"/>
          <w:lang w:val="lv-LV"/>
        </w:rPr>
        <w:t>bīstamo koku zāģēšana un koku vainagu kopšana Gulbenes novadā</w:t>
      </w:r>
      <w:r>
        <w:rPr>
          <w:sz w:val="24"/>
          <w:szCs w:val="24"/>
          <w:lang w:val="lv-LV"/>
        </w:rPr>
        <w:t xml:space="preserve">, </w:t>
      </w:r>
      <w:r w:rsidRPr="00F000F7">
        <w:rPr>
          <w:sz w:val="24"/>
          <w:szCs w:val="24"/>
          <w:lang w:val="lv-LV"/>
        </w:rPr>
        <w:t>saskaņā ar tehnisko - finanšu piedāvājumu un 202</w:t>
      </w:r>
      <w:r>
        <w:rPr>
          <w:sz w:val="24"/>
          <w:szCs w:val="24"/>
          <w:lang w:val="lv-LV"/>
        </w:rPr>
        <w:t>2</w:t>
      </w:r>
      <w:r w:rsidRPr="00F000F7">
        <w:rPr>
          <w:sz w:val="24"/>
          <w:szCs w:val="24"/>
          <w:lang w:val="lv-LV"/>
        </w:rPr>
        <w:t>. gada</w:t>
      </w:r>
      <w:r>
        <w:rPr>
          <w:b/>
          <w:bCs/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Gulbenes pašvaldības budžetā pieejamo finansējumu.</w:t>
      </w:r>
    </w:p>
    <w:p w14:paraId="11EA4139" w14:textId="77777777" w:rsidR="005515F8" w:rsidRDefault="005515F8" w:rsidP="00AB251C">
      <w:pPr>
        <w:jc w:val="both"/>
        <w:rPr>
          <w:b/>
          <w:bCs/>
          <w:sz w:val="24"/>
          <w:szCs w:val="24"/>
          <w:lang w:val="lv-LV"/>
        </w:rPr>
      </w:pPr>
    </w:p>
    <w:p w14:paraId="62D4F2EF" w14:textId="77777777" w:rsidR="005515F8" w:rsidRDefault="005515F8" w:rsidP="00AB251C">
      <w:pPr>
        <w:pStyle w:val="Sarakstarindkopa"/>
        <w:numPr>
          <w:ilvl w:val="0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04433B">
        <w:rPr>
          <w:b/>
          <w:bCs/>
          <w:sz w:val="24"/>
          <w:szCs w:val="24"/>
          <w:lang w:val="lv-LV"/>
        </w:rPr>
        <w:t>Darbu veikšanas nosacījumi:</w:t>
      </w:r>
    </w:p>
    <w:p w14:paraId="1E78A2C1" w14:textId="36CDBD7A" w:rsidR="005515F8" w:rsidRPr="00D313B6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04433B">
        <w:rPr>
          <w:bCs/>
          <w:sz w:val="24"/>
          <w:szCs w:val="24"/>
          <w:lang w:val="lv-LV"/>
        </w:rPr>
        <w:t>Koku zāģēšanu un kopšanu veic</w:t>
      </w:r>
      <w:r>
        <w:rPr>
          <w:bCs/>
          <w:sz w:val="24"/>
          <w:szCs w:val="24"/>
          <w:lang w:val="lv-LV"/>
        </w:rPr>
        <w:t xml:space="preserve"> vismaz 2 kvalificēti</w:t>
      </w:r>
      <w:r w:rsidRPr="0004433B">
        <w:rPr>
          <w:bCs/>
          <w:sz w:val="24"/>
          <w:szCs w:val="24"/>
          <w:lang w:val="lv-LV"/>
        </w:rPr>
        <w:t xml:space="preserve"> kokkopji – arboristi</w:t>
      </w:r>
      <w:r w:rsidR="00F77B37">
        <w:rPr>
          <w:bCs/>
          <w:sz w:val="24"/>
          <w:szCs w:val="24"/>
          <w:lang w:val="lv-LV"/>
        </w:rPr>
        <w:t>;</w:t>
      </w:r>
      <w:r w:rsidRPr="0004433B">
        <w:rPr>
          <w:bCs/>
          <w:sz w:val="24"/>
          <w:szCs w:val="24"/>
          <w:lang w:val="lv-LV"/>
        </w:rPr>
        <w:t xml:space="preserve"> </w:t>
      </w:r>
    </w:p>
    <w:p w14:paraId="00CE8BCD" w14:textId="0DEAB3A3" w:rsidR="005515F8" w:rsidRPr="0004433B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04433B">
        <w:rPr>
          <w:bCs/>
          <w:sz w:val="24"/>
          <w:szCs w:val="24"/>
          <w:lang w:val="lv-LV"/>
        </w:rPr>
        <w:t>Darbu veikšanas gaitā tiek veikti korekti zāģējumi, tā, lai neveidotos mizas atplīsumi, lai zāģējot zaru neiezāģētu stumbra koksnē</w:t>
      </w:r>
      <w:r>
        <w:rPr>
          <w:bCs/>
          <w:sz w:val="24"/>
          <w:szCs w:val="24"/>
          <w:lang w:val="lv-LV"/>
        </w:rPr>
        <w:t>;</w:t>
      </w:r>
    </w:p>
    <w:p w14:paraId="0ED5D90B" w14:textId="377F81C8" w:rsidR="005515F8" w:rsidRPr="0004433B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04433B">
        <w:rPr>
          <w:bCs/>
          <w:sz w:val="24"/>
          <w:szCs w:val="24"/>
          <w:lang w:val="lv-LV"/>
        </w:rPr>
        <w:t>Darba veikšanai jānodrošina drošības līdzekļu uzstādīšana – zāģēšanas vieta pa perimetru jāierobežo ar aizsarglentēm, barjerām vai konusiem atbilstoši normatīvajiem aktiem. Nepieciešamības gadījumā jāorganizē transporta kustība</w:t>
      </w:r>
      <w:r>
        <w:rPr>
          <w:bCs/>
          <w:sz w:val="24"/>
          <w:szCs w:val="24"/>
          <w:lang w:val="lv-LV"/>
        </w:rPr>
        <w:t>;</w:t>
      </w:r>
    </w:p>
    <w:p w14:paraId="3CF43CDC" w14:textId="31A29C17" w:rsidR="005515F8" w:rsidRPr="00FA66FC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04433B">
        <w:rPr>
          <w:bCs/>
          <w:sz w:val="24"/>
          <w:szCs w:val="24"/>
          <w:lang w:val="lv-LV"/>
        </w:rPr>
        <w:t xml:space="preserve">Bīstamo koku (nolūzuši, bīstami sasvērušies, aizlūzuši, nokaltuši) novākšana, nozāģēšana tiek veikta nekavējoties, pēc pasūtītāja pieteikuma </w:t>
      </w:r>
      <w:r w:rsidRPr="00FA66FC">
        <w:rPr>
          <w:bCs/>
          <w:sz w:val="24"/>
          <w:szCs w:val="24"/>
          <w:lang w:val="lv-LV"/>
        </w:rPr>
        <w:t>(darbi uzsākami 4 stundu laikā no pasūtītāja pieteikuma brīža vai saskaņā ar darba uzdevumu)</w:t>
      </w:r>
      <w:r w:rsidRPr="0004433B">
        <w:rPr>
          <w:bCs/>
          <w:sz w:val="24"/>
          <w:szCs w:val="24"/>
          <w:lang w:val="lv-LV"/>
        </w:rPr>
        <w:t xml:space="preserve">, ja laikapstākļi ir atbilstoši darba veikšanai, neapdraudot kāda dzīvību/veselību. Nozāģētie koki </w:t>
      </w:r>
      <w:r w:rsidRPr="00FA66FC">
        <w:rPr>
          <w:bCs/>
          <w:sz w:val="24"/>
          <w:szCs w:val="24"/>
          <w:lang w:val="lv-LV"/>
        </w:rPr>
        <w:t>jāsagarina no 1 līdz 3 metriem un jānovieto tā, lai tie netraucē autobraucējiem un gājējiem;</w:t>
      </w:r>
    </w:p>
    <w:p w14:paraId="00CF9C4E" w14:textId="464AEE4E" w:rsidR="005515F8" w:rsidRPr="0004433B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04433B">
        <w:rPr>
          <w:bCs/>
          <w:sz w:val="24"/>
          <w:szCs w:val="24"/>
          <w:lang w:val="lv-LV"/>
        </w:rPr>
        <w:t>Objektā pastāvīgi jānodrošina kārtība un tīrība. Beidzot vai pārtraucot strādāšanu, darba vieta jāsakārto, jāattīra no zariem un zāģu skaidām</w:t>
      </w:r>
      <w:r>
        <w:rPr>
          <w:bCs/>
          <w:sz w:val="24"/>
          <w:szCs w:val="24"/>
          <w:lang w:val="lv-LV"/>
        </w:rPr>
        <w:t>;</w:t>
      </w:r>
    </w:p>
    <w:p w14:paraId="37AC05FF" w14:textId="77777777" w:rsidR="005515F8" w:rsidRPr="00FA66FC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04433B">
        <w:rPr>
          <w:bCs/>
          <w:sz w:val="24"/>
          <w:szCs w:val="24"/>
          <w:lang w:val="lv-LV"/>
        </w:rPr>
        <w:t xml:space="preserve">Pēc koka nozāģēšanas vai koka vainaga sakopšanas </w:t>
      </w:r>
      <w:r>
        <w:rPr>
          <w:bCs/>
          <w:sz w:val="24"/>
          <w:szCs w:val="24"/>
          <w:lang w:val="lv-LV"/>
        </w:rPr>
        <w:t xml:space="preserve">ne vēlāk kā </w:t>
      </w:r>
      <w:r w:rsidRPr="00FA66FC">
        <w:rPr>
          <w:bCs/>
          <w:sz w:val="24"/>
          <w:szCs w:val="24"/>
          <w:lang w:val="lv-LV"/>
        </w:rPr>
        <w:t>24 stundu</w:t>
      </w:r>
      <w:r w:rsidRPr="0004433B">
        <w:rPr>
          <w:bCs/>
          <w:sz w:val="24"/>
          <w:szCs w:val="24"/>
          <w:lang w:val="lv-LV"/>
        </w:rPr>
        <w:t xml:space="preserve"> laikā jāveic darba vietas sakārtošana, t.sk. augsnes virskārtas izlīdzināšana, darbu veikšanas laikā radušos atkritumu (koku zari, skaidas, u.c.) savākšana, nogādāšana uz </w:t>
      </w:r>
      <w:r w:rsidRPr="00FA66FC">
        <w:rPr>
          <w:bCs/>
          <w:sz w:val="24"/>
          <w:szCs w:val="24"/>
          <w:lang w:val="lv-LV"/>
        </w:rPr>
        <w:t>ar Pasūtītāju saskaņotu krautuvi;</w:t>
      </w:r>
    </w:p>
    <w:p w14:paraId="5D6EE12D" w14:textId="77777777" w:rsidR="005515F8" w:rsidRPr="0004433B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04433B">
        <w:rPr>
          <w:bCs/>
          <w:sz w:val="24"/>
          <w:szCs w:val="24"/>
          <w:lang w:val="lv-LV"/>
        </w:rPr>
        <w:t>Darba vietā nav pieļaujama vides piesārņošana ar sadzīves atkritumiem, izlietu degvielu, eļļām un citām vielām</w:t>
      </w:r>
      <w:r>
        <w:rPr>
          <w:bCs/>
          <w:sz w:val="24"/>
          <w:szCs w:val="24"/>
          <w:lang w:val="lv-LV"/>
        </w:rPr>
        <w:t>;</w:t>
      </w:r>
    </w:p>
    <w:p w14:paraId="01C162FA" w14:textId="43A4F8E8" w:rsidR="005515F8" w:rsidRPr="009C40E2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FA66FC">
        <w:rPr>
          <w:bCs/>
          <w:sz w:val="24"/>
          <w:szCs w:val="24"/>
          <w:lang w:val="lv-LV"/>
        </w:rPr>
        <w:t>Nozāģētā koksne paliek Pasūtītāja īpašumā;</w:t>
      </w:r>
    </w:p>
    <w:p w14:paraId="72FECC50" w14:textId="77777777" w:rsidR="005515F8" w:rsidRPr="009C40E2" w:rsidRDefault="005515F8" w:rsidP="00AB251C">
      <w:pPr>
        <w:pStyle w:val="Sarakstarindkopa"/>
        <w:numPr>
          <w:ilvl w:val="1"/>
          <w:numId w:val="1"/>
        </w:numPr>
        <w:ind w:left="709"/>
        <w:jc w:val="both"/>
        <w:rPr>
          <w:b/>
          <w:bCs/>
          <w:sz w:val="24"/>
          <w:szCs w:val="24"/>
          <w:lang w:val="lv-LV"/>
        </w:rPr>
      </w:pPr>
      <w:r w:rsidRPr="009C40E2">
        <w:rPr>
          <w:bCs/>
          <w:sz w:val="24"/>
          <w:szCs w:val="24"/>
          <w:lang w:val="lv-LV"/>
        </w:rPr>
        <w:t>Celmu augstums nedrīkst pārsniegt 20 cm;</w:t>
      </w:r>
    </w:p>
    <w:p w14:paraId="33F0FB72" w14:textId="77777777" w:rsidR="005515F8" w:rsidRPr="00A97F76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A97F76">
        <w:rPr>
          <w:bCs/>
          <w:sz w:val="24"/>
          <w:szCs w:val="24"/>
          <w:lang w:val="lv-LV"/>
        </w:rPr>
        <w:t>Darbi jāveic, ievērojot darba, satiksmes, iedzīvotāju un tehniskās drošības pasākumus, nebojājot apkārtējās ēkas, būves, aprīkojumus, labiekārtojuma elementus, kapu pieminekļus, apstādījumus vai tehniku, inženierkomunikāciju tīklus u.c.</w:t>
      </w:r>
      <w:r>
        <w:rPr>
          <w:bCs/>
          <w:sz w:val="24"/>
          <w:szCs w:val="24"/>
          <w:lang w:val="lv-LV"/>
        </w:rPr>
        <w:t>;</w:t>
      </w:r>
    </w:p>
    <w:p w14:paraId="3EEB21DA" w14:textId="77777777" w:rsidR="005515F8" w:rsidRPr="00A97F76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A97F76">
        <w:rPr>
          <w:bCs/>
          <w:sz w:val="24"/>
          <w:szCs w:val="24"/>
          <w:lang w:val="lv-LV"/>
        </w:rPr>
        <w:t>Izpildītājs ir pilnībā atbildīgs par trešajai personai nodarīto kaitējumu (civiltiesiskā apdrošināšana), kas radusies darbu izpildes laikā un / vai nekvalitatīvi veikto vai neveikto darbu izpildes dēļ</w:t>
      </w:r>
      <w:r>
        <w:rPr>
          <w:bCs/>
          <w:sz w:val="24"/>
          <w:szCs w:val="24"/>
          <w:lang w:val="lv-LV"/>
        </w:rPr>
        <w:t>;</w:t>
      </w:r>
    </w:p>
    <w:p w14:paraId="5D7E6F13" w14:textId="77777777" w:rsidR="005515F8" w:rsidRPr="00A97F76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A97F76">
        <w:rPr>
          <w:bCs/>
          <w:sz w:val="24"/>
          <w:szCs w:val="24"/>
          <w:lang w:val="lv-LV"/>
        </w:rPr>
        <w:t>Nodrošināt darbu izpildē atbilstošu nepieciešamo tehniku, aprīkojumu, ekipējumu un cilvēku resursus</w:t>
      </w:r>
      <w:r>
        <w:rPr>
          <w:bCs/>
          <w:sz w:val="24"/>
          <w:szCs w:val="24"/>
          <w:lang w:val="lv-LV"/>
        </w:rPr>
        <w:t>;</w:t>
      </w:r>
    </w:p>
    <w:p w14:paraId="567825A9" w14:textId="2AEDBC91" w:rsidR="005515F8" w:rsidRPr="00A97F76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A97F76">
        <w:rPr>
          <w:bCs/>
          <w:sz w:val="24"/>
          <w:szCs w:val="24"/>
          <w:lang w:val="lv-LV"/>
        </w:rPr>
        <w:t>Par uzdevuma izpildei izvēlēto darba metodi, darba kvalitāti atbild Izpildītājs</w:t>
      </w:r>
      <w:r>
        <w:rPr>
          <w:bCs/>
          <w:sz w:val="24"/>
          <w:szCs w:val="24"/>
          <w:lang w:val="lv-LV"/>
        </w:rPr>
        <w:t>;</w:t>
      </w:r>
    </w:p>
    <w:p w14:paraId="5A49A49A" w14:textId="77777777" w:rsidR="005515F8" w:rsidRPr="00A97F76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A97F76">
        <w:rPr>
          <w:bCs/>
          <w:sz w:val="24"/>
          <w:szCs w:val="24"/>
          <w:lang w:val="lv-LV"/>
        </w:rPr>
        <w:t>Jebkuru darbu veikšana un to veikšanas kārtība iepriekš jāsaskaņo ar Pasūtītāju</w:t>
      </w:r>
      <w:r>
        <w:rPr>
          <w:bCs/>
          <w:sz w:val="24"/>
          <w:szCs w:val="24"/>
          <w:lang w:val="lv-LV"/>
        </w:rPr>
        <w:t>;</w:t>
      </w:r>
    </w:p>
    <w:p w14:paraId="563C8A7A" w14:textId="77777777" w:rsidR="005515F8" w:rsidRPr="00A97F76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A97F76">
        <w:rPr>
          <w:bCs/>
          <w:sz w:val="24"/>
          <w:szCs w:val="24"/>
          <w:lang w:val="lv-LV"/>
        </w:rPr>
        <w:lastRenderedPageBreak/>
        <w:t>Darbu veikšanas laikā Pasūtītājs var dot Izpildītājam saistošus norādījumus attiecībā uz darba veikšanu</w:t>
      </w:r>
      <w:r>
        <w:rPr>
          <w:bCs/>
          <w:sz w:val="24"/>
          <w:szCs w:val="24"/>
          <w:lang w:val="lv-LV"/>
        </w:rPr>
        <w:t>;</w:t>
      </w:r>
    </w:p>
    <w:p w14:paraId="6B993EB0" w14:textId="7D67C9CF" w:rsidR="005515F8" w:rsidRPr="00A97F76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A97F76">
        <w:rPr>
          <w:bCs/>
          <w:sz w:val="24"/>
          <w:szCs w:val="24"/>
          <w:lang w:val="lv-LV"/>
        </w:rPr>
        <w:t>Darbu veicējs ir atbildīgs par Pasūtītājam un trešajām personām nodarīto kaitējumu. Pirms darbu uzsākšanas tiek veikta objekta fotofiksācija</w:t>
      </w:r>
      <w:r>
        <w:rPr>
          <w:bCs/>
          <w:sz w:val="24"/>
          <w:szCs w:val="24"/>
          <w:lang w:val="lv-LV"/>
        </w:rPr>
        <w:t>;</w:t>
      </w:r>
    </w:p>
    <w:p w14:paraId="7106D401" w14:textId="4144E90F" w:rsidR="005515F8" w:rsidRPr="00F77B37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FA66FC">
        <w:rPr>
          <w:bCs/>
          <w:sz w:val="24"/>
          <w:szCs w:val="24"/>
          <w:lang w:val="lv-LV"/>
        </w:rPr>
        <w:t>Nozāģētie koku zari, koksnes atkritumi tiek nokrauti ar Pasūtītāju saskaņotās krautuvēs Pašvaldībai piederošajā īpašumā, un līdz līguma termiņa beigām ir jāutilizē;</w:t>
      </w:r>
    </w:p>
    <w:p w14:paraId="2E002420" w14:textId="614D7649" w:rsidR="005515F8" w:rsidRPr="00F77B37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F77B37">
        <w:rPr>
          <w:bCs/>
          <w:sz w:val="24"/>
          <w:szCs w:val="24"/>
          <w:lang w:val="lv-LV"/>
        </w:rPr>
        <w:t>Pasūtītājs nosūta Izpildītājam darba uzdevumu, minimālais koku skaits vienā darba uzdevumā – 3 gabali. Pēc darbu paveikšanas tiek sastādīts darbu pieņemšanas - nodošanas akts, pievienojot fotofiksāciju pirms un pēc darba veikšanas. Pamatojoties uz pieņemšanas – nodošanas aktu, tiek piestādīts rēķins.</w:t>
      </w:r>
    </w:p>
    <w:p w14:paraId="5676998B" w14:textId="0F649BD3" w:rsidR="005515F8" w:rsidRPr="00F77B37" w:rsidRDefault="005515F8" w:rsidP="00AB251C">
      <w:pPr>
        <w:pStyle w:val="Sarakstarindkopa"/>
        <w:numPr>
          <w:ilvl w:val="1"/>
          <w:numId w:val="1"/>
        </w:numPr>
        <w:jc w:val="both"/>
        <w:rPr>
          <w:b/>
          <w:bCs/>
          <w:sz w:val="24"/>
          <w:szCs w:val="24"/>
          <w:lang w:val="lv-LV"/>
        </w:rPr>
      </w:pPr>
      <w:r w:rsidRPr="00F77B37">
        <w:rPr>
          <w:bCs/>
          <w:sz w:val="24"/>
          <w:szCs w:val="24"/>
          <w:lang w:val="lv-LV"/>
        </w:rPr>
        <w:t>Pasūtītāja pārstāvis – Gulbenes novada pašvaldības Īpašumu pārraudzības nodaļas vadītājs</w:t>
      </w:r>
      <w:r w:rsidR="00AB251C">
        <w:rPr>
          <w:bCs/>
          <w:sz w:val="24"/>
          <w:szCs w:val="24"/>
          <w:lang w:val="lv-LV"/>
        </w:rPr>
        <w:t xml:space="preserve"> Kristaps Dauksts, </w:t>
      </w:r>
      <w:r w:rsidR="00AB251C" w:rsidRPr="00AB251C">
        <w:rPr>
          <w:bCs/>
          <w:sz w:val="24"/>
          <w:szCs w:val="24"/>
          <w:lang w:val="lv-LV"/>
        </w:rPr>
        <w:t>tālr. 64471370</w:t>
      </w:r>
      <w:r w:rsidR="00AB251C">
        <w:rPr>
          <w:bCs/>
          <w:sz w:val="24"/>
          <w:szCs w:val="24"/>
          <w:lang w:val="lv-LV"/>
        </w:rPr>
        <w:t xml:space="preserve">, e-pasts: </w:t>
      </w:r>
      <w:r w:rsidR="00AB251C" w:rsidRPr="00AB251C">
        <w:rPr>
          <w:bCs/>
          <w:sz w:val="24"/>
          <w:szCs w:val="24"/>
          <w:lang w:val="lv-LV"/>
        </w:rPr>
        <w:t>kristaps.dauksts@gulbene.lv</w:t>
      </w:r>
    </w:p>
    <w:p w14:paraId="1EED52FF" w14:textId="77777777" w:rsidR="005515F8" w:rsidRPr="005155E4" w:rsidRDefault="005515F8" w:rsidP="00AB251C">
      <w:pPr>
        <w:jc w:val="both"/>
        <w:rPr>
          <w:lang w:val="lv-LV"/>
        </w:rPr>
      </w:pPr>
    </w:p>
    <w:p w14:paraId="6F042A8D" w14:textId="32E59736" w:rsidR="00FD663C" w:rsidRDefault="00FD663C" w:rsidP="00AB251C">
      <w:pPr>
        <w:jc w:val="both"/>
        <w:rPr>
          <w:lang w:val="lv-LV"/>
        </w:rPr>
      </w:pPr>
    </w:p>
    <w:p w14:paraId="2CE6D094" w14:textId="2DDC8F10" w:rsidR="00512B03" w:rsidRDefault="00512B03" w:rsidP="00AB251C">
      <w:pPr>
        <w:jc w:val="both"/>
        <w:rPr>
          <w:lang w:val="lv-LV"/>
        </w:rPr>
      </w:pPr>
    </w:p>
    <w:p w14:paraId="3C3EDD0A" w14:textId="77777777" w:rsidR="00512B03" w:rsidRPr="00512B03" w:rsidRDefault="00512B03" w:rsidP="00512B03">
      <w:pPr>
        <w:ind w:firstLine="720"/>
        <w:jc w:val="both"/>
        <w:rPr>
          <w:sz w:val="24"/>
          <w:szCs w:val="24"/>
          <w:lang w:val="lv-LV"/>
        </w:rPr>
      </w:pPr>
      <w:r w:rsidRPr="00512B03">
        <w:rPr>
          <w:sz w:val="24"/>
          <w:szCs w:val="24"/>
          <w:lang w:val="lv-LV"/>
        </w:rPr>
        <w:t xml:space="preserve">Ar šo </w:t>
      </w:r>
      <w:bookmarkStart w:id="0" w:name="_Hlk45783026"/>
      <w:r w:rsidRPr="00512B03">
        <w:rPr>
          <w:i/>
          <w:sz w:val="24"/>
          <w:szCs w:val="24"/>
          <w:lang w:val="lv-LV"/>
        </w:rPr>
        <w:t>&lt;pretendenta nosaukums&gt;</w:t>
      </w:r>
      <w:r w:rsidRPr="00512B03">
        <w:rPr>
          <w:sz w:val="24"/>
          <w:szCs w:val="24"/>
          <w:lang w:val="lv-LV"/>
        </w:rPr>
        <w:t xml:space="preserve"> </w:t>
      </w:r>
      <w:bookmarkEnd w:id="0"/>
      <w:r w:rsidRPr="00512B03">
        <w:rPr>
          <w:sz w:val="24"/>
          <w:szCs w:val="24"/>
          <w:lang w:val="lv-LV"/>
        </w:rPr>
        <w:t>apliecina, ka pakalpojums tiks veikts atbilstoši Tehniskās specifikācijas prasībām.</w:t>
      </w:r>
    </w:p>
    <w:p w14:paraId="52B29283" w14:textId="77777777" w:rsidR="00512B03" w:rsidRPr="00512B03" w:rsidRDefault="00512B03" w:rsidP="00512B03">
      <w:pPr>
        <w:rPr>
          <w:sz w:val="24"/>
          <w:szCs w:val="24"/>
          <w:lang w:val="lv-LV"/>
        </w:rPr>
      </w:pPr>
    </w:p>
    <w:p w14:paraId="27AB94A4" w14:textId="77777777" w:rsidR="00512B03" w:rsidRPr="00512B03" w:rsidRDefault="00512B03" w:rsidP="00512B03">
      <w:pPr>
        <w:rPr>
          <w:sz w:val="24"/>
          <w:szCs w:val="24"/>
          <w:lang w:val="lv-LV"/>
        </w:rPr>
      </w:pPr>
      <w:r w:rsidRPr="00512B03">
        <w:rPr>
          <w:sz w:val="24"/>
          <w:szCs w:val="24"/>
          <w:lang w:val="lv-LV"/>
        </w:rPr>
        <w:t xml:space="preserve">2022.gada ___._____________ </w:t>
      </w:r>
    </w:p>
    <w:p w14:paraId="7C722460" w14:textId="77777777" w:rsidR="00512B03" w:rsidRPr="00512B03" w:rsidRDefault="00512B03" w:rsidP="00512B03">
      <w:pPr>
        <w:rPr>
          <w:sz w:val="24"/>
          <w:szCs w:val="24"/>
          <w:lang w:val="lv-LV"/>
        </w:rPr>
      </w:pPr>
    </w:p>
    <w:tbl>
      <w:tblPr>
        <w:tblW w:w="92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113"/>
      </w:tblGrid>
      <w:tr w:rsidR="00512B03" w:rsidRPr="00512B03" w14:paraId="7C564768" w14:textId="77777777" w:rsidTr="00512B03">
        <w:trPr>
          <w:trHeight w:val="154"/>
        </w:trPr>
        <w:tc>
          <w:tcPr>
            <w:tcW w:w="2127" w:type="dxa"/>
            <w:shd w:val="pct5" w:color="auto" w:fill="FFFFFF"/>
            <w:vAlign w:val="center"/>
          </w:tcPr>
          <w:p w14:paraId="41EA7E0C" w14:textId="77777777" w:rsidR="00512B03" w:rsidRPr="00512B03" w:rsidRDefault="00512B03" w:rsidP="00C92E4A">
            <w:pPr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512B03">
              <w:rPr>
                <w:b/>
                <w:bCs/>
                <w:sz w:val="24"/>
                <w:szCs w:val="24"/>
                <w:lang w:val="lv-LV"/>
              </w:rPr>
              <w:t>Vārds, uzvārds:</w:t>
            </w:r>
          </w:p>
        </w:tc>
        <w:tc>
          <w:tcPr>
            <w:tcW w:w="7113" w:type="dxa"/>
            <w:vAlign w:val="center"/>
          </w:tcPr>
          <w:p w14:paraId="5BF25FE9" w14:textId="77777777" w:rsidR="00512B03" w:rsidRPr="00512B03" w:rsidRDefault="00512B03" w:rsidP="00C92E4A">
            <w:pPr>
              <w:rPr>
                <w:i/>
                <w:iCs/>
                <w:sz w:val="24"/>
                <w:szCs w:val="24"/>
                <w:lang w:val="lv-LV"/>
              </w:rPr>
            </w:pPr>
            <w:r w:rsidRPr="00512B03">
              <w:rPr>
                <w:i/>
                <w:sz w:val="24"/>
                <w:szCs w:val="24"/>
                <w:highlight w:val="lightGray"/>
                <w:lang w:val="lv-LV"/>
              </w:rPr>
              <w:t>&lt;Pretendenta pārstāvis ar pārstāvības tiesībām vai tā pilnvarotā person</w:t>
            </w:r>
            <w:r w:rsidRPr="00512B03">
              <w:rPr>
                <w:i/>
                <w:sz w:val="24"/>
                <w:szCs w:val="24"/>
                <w:highlight w:val="lightGray"/>
                <w:shd w:val="clear" w:color="auto" w:fill="BFBFBF"/>
                <w:lang w:val="lv-LV"/>
              </w:rPr>
              <w:t>a</w:t>
            </w:r>
            <w:r w:rsidRPr="00512B03">
              <w:rPr>
                <w:i/>
                <w:sz w:val="24"/>
                <w:szCs w:val="24"/>
                <w:shd w:val="clear" w:color="auto" w:fill="BFBFBF"/>
                <w:lang w:val="lv-LV"/>
              </w:rPr>
              <w:t>&gt;</w:t>
            </w:r>
          </w:p>
        </w:tc>
      </w:tr>
      <w:tr w:rsidR="00512B03" w:rsidRPr="00512B03" w14:paraId="63A010B0" w14:textId="77777777" w:rsidTr="00512B03">
        <w:trPr>
          <w:trHeight w:val="386"/>
        </w:trPr>
        <w:tc>
          <w:tcPr>
            <w:tcW w:w="2127" w:type="dxa"/>
            <w:shd w:val="pct5" w:color="auto" w:fill="FFFFFF"/>
            <w:vAlign w:val="center"/>
          </w:tcPr>
          <w:p w14:paraId="14FE51DA" w14:textId="77777777" w:rsidR="00512B03" w:rsidRPr="00512B03" w:rsidRDefault="00512B03" w:rsidP="00C92E4A">
            <w:pPr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512B03">
              <w:rPr>
                <w:b/>
                <w:bCs/>
                <w:sz w:val="24"/>
                <w:szCs w:val="24"/>
                <w:lang w:val="lv-LV"/>
              </w:rPr>
              <w:t>Amats:</w:t>
            </w:r>
          </w:p>
        </w:tc>
        <w:tc>
          <w:tcPr>
            <w:tcW w:w="7113" w:type="dxa"/>
            <w:vAlign w:val="center"/>
          </w:tcPr>
          <w:p w14:paraId="7B96CF6A" w14:textId="77777777" w:rsidR="00512B03" w:rsidRPr="00512B03" w:rsidRDefault="00512B03" w:rsidP="00C92E4A">
            <w:pPr>
              <w:rPr>
                <w:sz w:val="24"/>
                <w:szCs w:val="24"/>
                <w:lang w:val="lv-LV"/>
              </w:rPr>
            </w:pPr>
          </w:p>
        </w:tc>
      </w:tr>
      <w:tr w:rsidR="00512B03" w:rsidRPr="00512B03" w14:paraId="694CDA91" w14:textId="77777777" w:rsidTr="00512B03">
        <w:trPr>
          <w:trHeight w:val="386"/>
        </w:trPr>
        <w:tc>
          <w:tcPr>
            <w:tcW w:w="2127" w:type="dxa"/>
            <w:shd w:val="pct5" w:color="auto" w:fill="FFFFFF"/>
            <w:vAlign w:val="center"/>
          </w:tcPr>
          <w:p w14:paraId="0EAD2175" w14:textId="77777777" w:rsidR="00512B03" w:rsidRPr="00512B03" w:rsidRDefault="00512B03" w:rsidP="00C92E4A">
            <w:pPr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512B03">
              <w:rPr>
                <w:b/>
                <w:bCs/>
                <w:sz w:val="24"/>
                <w:szCs w:val="24"/>
                <w:lang w:val="lv-LV"/>
              </w:rPr>
              <w:t>Paraksts:</w:t>
            </w:r>
          </w:p>
        </w:tc>
        <w:tc>
          <w:tcPr>
            <w:tcW w:w="7113" w:type="dxa"/>
            <w:vAlign w:val="center"/>
          </w:tcPr>
          <w:p w14:paraId="22E9401A" w14:textId="77777777" w:rsidR="00512B03" w:rsidRPr="00512B03" w:rsidRDefault="00512B03" w:rsidP="00C92E4A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016935BA" w14:textId="77777777" w:rsidR="00512B03" w:rsidRPr="00512B03" w:rsidRDefault="00512B03" w:rsidP="00AB251C">
      <w:pPr>
        <w:jc w:val="both"/>
        <w:rPr>
          <w:lang w:val="lv-LV"/>
        </w:rPr>
      </w:pPr>
    </w:p>
    <w:sectPr w:rsidR="00512B03" w:rsidRPr="00512B03" w:rsidSect="00512B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17A66"/>
    <w:multiLevelType w:val="multilevel"/>
    <w:tmpl w:val="6D18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F8"/>
    <w:rsid w:val="00103572"/>
    <w:rsid w:val="00512B03"/>
    <w:rsid w:val="005515F8"/>
    <w:rsid w:val="00567840"/>
    <w:rsid w:val="00582308"/>
    <w:rsid w:val="005A43DB"/>
    <w:rsid w:val="006A1505"/>
    <w:rsid w:val="009C40E2"/>
    <w:rsid w:val="00AB251C"/>
    <w:rsid w:val="00BE58A8"/>
    <w:rsid w:val="00C65BA9"/>
    <w:rsid w:val="00F77B37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755E"/>
  <w15:chartTrackingRefBased/>
  <w15:docId w15:val="{31B1E351-1BFA-4765-BB7D-D9F5DA3B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51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qFormat/>
    <w:rsid w:val="005515F8"/>
    <w:pPr>
      <w:keepNext/>
      <w:ind w:left="4320" w:firstLine="720"/>
      <w:outlineLvl w:val="0"/>
    </w:pPr>
    <w:rPr>
      <w:b/>
      <w:sz w:val="3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515F8"/>
    <w:rPr>
      <w:rFonts w:ascii="Times New Roman" w:eastAsia="Times New Roman" w:hAnsi="Times New Roman" w:cs="Times New Roman"/>
      <w:b/>
      <w:sz w:val="32"/>
      <w:szCs w:val="20"/>
    </w:rPr>
  </w:style>
  <w:style w:type="paragraph" w:styleId="Sarakstarindkopa">
    <w:name w:val="List Paragraph"/>
    <w:basedOn w:val="Parasts"/>
    <w:uiPriority w:val="34"/>
    <w:qFormat/>
    <w:rsid w:val="00551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2731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Šmite-Ūdre</dc:creator>
  <cp:keywords/>
  <dc:description/>
  <cp:lastModifiedBy>Evita Lode</cp:lastModifiedBy>
  <cp:revision>3</cp:revision>
  <dcterms:created xsi:type="dcterms:W3CDTF">2022-01-18T08:39:00Z</dcterms:created>
  <dcterms:modified xsi:type="dcterms:W3CDTF">2022-02-17T14:43:00Z</dcterms:modified>
</cp:coreProperties>
</file>