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923D" w14:textId="77777777" w:rsidR="0055402A" w:rsidRPr="001801CF" w:rsidRDefault="0055402A" w:rsidP="0055402A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1801CF">
        <w:rPr>
          <w:rFonts w:ascii="Times New Roman" w:hAnsi="Times New Roman" w:cs="Times New Roman"/>
          <w:b/>
          <w:sz w:val="24"/>
          <w:szCs w:val="24"/>
        </w:rPr>
        <w:t>PASKAIDROJUMA RAKSTS</w:t>
      </w:r>
    </w:p>
    <w:p w14:paraId="79D3D0D9" w14:textId="77777777" w:rsidR="0055402A" w:rsidRPr="001801CF" w:rsidRDefault="0055402A" w:rsidP="00554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801C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 pašvaldības domes 2026.gada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26.februāra</w:t>
      </w:r>
      <w:r w:rsidRPr="001801C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saistošajiem noteikumiem </w:t>
      </w:r>
      <w:r w:rsidRPr="0088600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>Nr.___</w:t>
      </w:r>
      <w:r w:rsidRPr="001801C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 “</w:t>
      </w:r>
      <w:r w:rsidRPr="00886006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Grozījumi Gulbenes novada pašvaldības domes 2025.gada 30.janvāra saistošajos noteikumos Nr.1 “Gulbenes novada pašvaldības līdzdalības budžeta nolikums”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”</w:t>
      </w:r>
    </w:p>
    <w:p w14:paraId="4E0018DB" w14:textId="77777777" w:rsidR="0055402A" w:rsidRPr="0055252B" w:rsidRDefault="0055402A" w:rsidP="005540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</w:pPr>
    </w:p>
    <w:tbl>
      <w:tblPr>
        <w:tblW w:w="9094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6720"/>
      </w:tblGrid>
      <w:tr w:rsidR="0055402A" w:rsidRPr="0055252B" w14:paraId="33C87B0D" w14:textId="77777777" w:rsidTr="00526E59"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C6657E" w14:textId="77777777" w:rsidR="0055402A" w:rsidRPr="00AC0604" w:rsidRDefault="0055402A" w:rsidP="00526E59">
            <w:pPr>
              <w:spacing w:after="0" w:line="240" w:lineRule="auto"/>
              <w:ind w:right="3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C06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308E1A" w14:textId="77777777" w:rsidR="0055402A" w:rsidRPr="00AC0604" w:rsidRDefault="0055402A" w:rsidP="00526E59">
            <w:pPr>
              <w:spacing w:after="0" w:line="240" w:lineRule="auto"/>
              <w:ind w:right="102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AC06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Norādāmā informācija </w:t>
            </w:r>
          </w:p>
        </w:tc>
      </w:tr>
      <w:tr w:rsidR="0055402A" w:rsidRPr="0055252B" w14:paraId="3970E1B0" w14:textId="77777777" w:rsidTr="00526E59"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256216" w14:textId="77777777" w:rsidR="0055402A" w:rsidRPr="0061205A" w:rsidRDefault="0055402A" w:rsidP="0055402A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1205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Mērķis un nepieciešamības pamatojums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30C0F5" w14:textId="2BAB1312" w:rsidR="0055402A" w:rsidRDefault="0055402A" w:rsidP="00526E59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29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Gulbenes novada pašvaldības domes 2026.gada 26.februāra saistošo noteikumu </w:t>
            </w:r>
            <w:r w:rsidRPr="00B959A1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  <w:t>Nr.__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“</w:t>
            </w:r>
            <w:r w:rsidRPr="003829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Grozījumi Gulbenes novada pašvaldības domes 2025.gada 30.janvāra saistošajos noteikumos Nr.1 “Gulbenes novada pašvaldības līdzdalības budžeta nolikums”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</w:t>
            </w:r>
            <w:r>
              <w:t xml:space="preserve"> </w:t>
            </w:r>
            <w:r w:rsidRPr="003829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(turpmāk – saistošie noteikumi) izdošanas mērķis ir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precizēt </w:t>
            </w:r>
            <w:r w:rsidRPr="00542E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Gulbenes novada pašvaldības domes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  <w:r w:rsidRPr="00542E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.gada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30.janvāra saistošos </w:t>
            </w:r>
            <w:r w:rsidRPr="00542E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noteikum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us</w:t>
            </w:r>
            <w:r w:rsidRPr="00542E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Nr.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  <w:r w:rsidRPr="00542E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</w:t>
            </w:r>
            <w:r w:rsidRPr="008860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Gulbenes novada pašvaldības līdzdalības budžeta nolikums”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(turpmāk – saistošie noteikumi Nr.1</w:t>
            </w:r>
            <w:r w:rsidRP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), paredzot:</w:t>
            </w:r>
          </w:p>
          <w:p w14:paraId="7F673E1B" w14:textId="5D076810" w:rsidR="0055402A" w:rsidRPr="00886006" w:rsidRDefault="0055402A" w:rsidP="00B959A1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363" w:right="102" w:hanging="36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Pr="008860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zteikt 5.punktu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jaunā</w:t>
            </w:r>
            <w:r w:rsidRPr="008860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redakcijā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nosakot, ka Gulbenes novada pašvaldības dome lemj par izsludināšanas gadā pieejamo finansējumu, izsludinot Gulbenes novada pašvaldības līdzdalības budžeta projektu ideju konkursu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(turpmāk – konkurss)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līdz kārtējā gada 31.martam;</w:t>
            </w:r>
          </w:p>
          <w:p w14:paraId="36C6A079" w14:textId="0A151057" w:rsidR="0055402A" w:rsidRPr="00450475" w:rsidRDefault="0055402A" w:rsidP="0055402A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363"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5047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 un 12.punktā vārdu salikumu “Gulbenes novada pašvaldība” aizstāt ar vārdu “pašvaldība”, kā tas noteikts saistošo noteikumu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Nr.1</w:t>
            </w:r>
            <w:r w:rsidRPr="0045047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1.punktā; </w:t>
            </w:r>
          </w:p>
          <w:p w14:paraId="7D0715CC" w14:textId="6E615950" w:rsidR="0055402A" w:rsidRDefault="0055402A" w:rsidP="0055402A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363"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Pr="0045047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zteikt 24.7.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</w:t>
            </w:r>
            <w:r w:rsidRPr="0045047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punktu jaunā redakcijā, nosakot, ka </w:t>
            </w:r>
            <w:r w:rsidR="00B959A1" w:rsidRP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Līdzdalības budžeta konkursa komisij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as (turpmāk – k</w:t>
            </w:r>
            <w:r w:rsidRPr="0045047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omisija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  <w:r w:rsidRPr="0045047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kompetencē ir apstiprināt iedzīvotāju balsojuma rezultātus un finansējuma piešķiršanu pēc konkursa trešās kārtas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nevis pieņemt lēmumu par balsojumu;</w:t>
            </w:r>
          </w:p>
          <w:p w14:paraId="13DC3D21" w14:textId="4F41E0A5" w:rsidR="0055402A" w:rsidRDefault="0055402A" w:rsidP="0055402A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363"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izteikt 24.8.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punktu jaunā redakcijā, nosakot, ka komisija var veikt citas darbības arī atbilstoši normatīvajiem aktiem;</w:t>
            </w:r>
          </w:p>
          <w:p w14:paraId="0321E4F2" w14:textId="2D53FBCD" w:rsidR="0055402A" w:rsidRDefault="0055402A" w:rsidP="0055402A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363"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izteikt 35.punktu jaunā redakcijā, nosakot, ka komisija </w:t>
            </w:r>
            <w:r w:rsidRPr="0045047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apkopo balsošanas rezultātus un 10 dienu laikā apstiprina balsojumu un projektus, kam piešķirams finansējums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4658D61B" w14:textId="04763982" w:rsidR="0055402A" w:rsidRDefault="0055402A" w:rsidP="0055402A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363"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izteikt 38.punktu jaunā redakcijā, nosakot, ka k</w:t>
            </w:r>
            <w:r w:rsidRPr="0045047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omisija publicē konkursa rezultātus 10 dienu laikā no komisijas sēdes dienas. Paziņojumu par konkursa rezultātiem publicē 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Gulbenes novada </w:t>
            </w:r>
            <w:r w:rsidRPr="0045047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pašvaldības tīmekļvietnē www.gulbene.lv, 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Gulbenes novada </w:t>
            </w:r>
            <w:r w:rsidRPr="0045047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pašvaldības informatīvajā izdevumā un valsts vienotajā ģeotelpiskās informācijas portālā http://geolatvija.lv sadaļā 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</w:t>
            </w:r>
            <w:r w:rsidRPr="0045047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Līdzdalības budžets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”; </w:t>
            </w:r>
          </w:p>
          <w:p w14:paraId="591A9A82" w14:textId="77777777" w:rsidR="0055402A" w:rsidRDefault="0055402A" w:rsidP="0055402A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363"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svītrot 40.punktu, jo tas pievienots 38.punktam;</w:t>
            </w:r>
          </w:p>
          <w:p w14:paraId="5541CD8C" w14:textId="77777777" w:rsidR="0055402A" w:rsidRDefault="00B959A1" w:rsidP="00B959A1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363"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izteikt 1. un 2.pielikumu jaunā redakcijā. </w:t>
            </w:r>
          </w:p>
          <w:p w14:paraId="3D0A441D" w14:textId="77777777" w:rsidR="00093D2F" w:rsidRDefault="00093D2F" w:rsidP="00093D2F">
            <w:pPr>
              <w:spacing w:after="0" w:line="240" w:lineRule="auto"/>
              <w:ind w:left="3"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F4EC44B" w14:textId="77777777" w:rsidR="00093D2F" w:rsidRDefault="00093D2F" w:rsidP="00093D2F">
            <w:pPr>
              <w:spacing w:after="0" w:line="240" w:lineRule="auto"/>
              <w:ind w:left="3"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3D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Saistošo noteikumu izdošana pamatojama ar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Pašvaldību likuma 61.pantu. </w:t>
            </w:r>
          </w:p>
          <w:p w14:paraId="7CAF8935" w14:textId="77777777" w:rsidR="00093D2F" w:rsidRDefault="00093D2F" w:rsidP="00093D2F">
            <w:pPr>
              <w:spacing w:after="0" w:line="240" w:lineRule="auto"/>
              <w:ind w:left="3"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34E99D9" w14:textId="2B8DADC3" w:rsidR="00093D2F" w:rsidRPr="00093D2F" w:rsidRDefault="00093D2F" w:rsidP="00093D2F">
            <w:pPr>
              <w:spacing w:after="0" w:line="240" w:lineRule="auto"/>
              <w:ind w:left="3"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3D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Iespējamā alternatīva, kas neparedz tiesiskā regulējuma izstrādi, – nav.</w:t>
            </w:r>
          </w:p>
        </w:tc>
      </w:tr>
      <w:tr w:rsidR="0055402A" w:rsidRPr="0055252B" w14:paraId="68E921B2" w14:textId="77777777" w:rsidTr="00526E59"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8EFE32" w14:textId="77777777" w:rsidR="0055402A" w:rsidRPr="00A9524C" w:rsidRDefault="0055402A" w:rsidP="0055402A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9524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Fiskālā ietekme uz pašvaldības budžetu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F92D4D" w14:textId="2C65F5E1" w:rsidR="0055402A" w:rsidRDefault="0055402A" w:rsidP="00526E59">
            <w:pPr>
              <w:pStyle w:val="Sarakstarindkopa"/>
              <w:spacing w:after="0" w:line="240" w:lineRule="auto"/>
              <w:ind w:left="0"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29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Saistošajiem noteikumiem nav fiskālās ietekmes uz Gulbenes novada pašvaldības budžetu. </w:t>
            </w:r>
          </w:p>
          <w:p w14:paraId="2C4B8990" w14:textId="77777777" w:rsidR="0055402A" w:rsidRPr="00B959A1" w:rsidRDefault="0055402A" w:rsidP="00B959A1">
            <w:pPr>
              <w:rPr>
                <w:lang w:eastAsia="lv-LV"/>
              </w:rPr>
            </w:pPr>
          </w:p>
        </w:tc>
      </w:tr>
      <w:tr w:rsidR="0055402A" w:rsidRPr="0055252B" w14:paraId="34B7E320" w14:textId="77777777" w:rsidTr="00526E59"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BE85FA" w14:textId="77777777" w:rsidR="0055402A" w:rsidRPr="009F10D2" w:rsidRDefault="0055402A" w:rsidP="0055402A">
            <w:pPr>
              <w:numPr>
                <w:ilvl w:val="0"/>
                <w:numId w:val="3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F10D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269944" w14:textId="77777777" w:rsidR="0055402A" w:rsidRPr="009F10D2" w:rsidRDefault="0055402A" w:rsidP="00526E59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F10D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3.1.</w:t>
            </w:r>
            <w:r w:rsidRPr="009F10D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ab/>
              <w:t>Sociālā ietekme – nav tiešas ietekmes.</w:t>
            </w:r>
          </w:p>
          <w:p w14:paraId="4DD2B08D" w14:textId="77777777" w:rsidR="0055402A" w:rsidRPr="009F10D2" w:rsidRDefault="0055402A" w:rsidP="00526E59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F10D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3.2.</w:t>
            </w:r>
            <w:r w:rsidRPr="009F10D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ab/>
              <w:t>Ietekme uz vidi – nav tiešas ietekmes.</w:t>
            </w:r>
          </w:p>
          <w:p w14:paraId="26CBEBF6" w14:textId="77777777" w:rsidR="0055402A" w:rsidRPr="009F10D2" w:rsidRDefault="0055402A" w:rsidP="00526E59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F10D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3.3.</w:t>
            </w:r>
            <w:r w:rsidRPr="009F10D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ab/>
              <w:t>Ietekme uz iedzīvotāju veselību – nav tiešas ietekmes.</w:t>
            </w:r>
          </w:p>
          <w:p w14:paraId="782814EE" w14:textId="77777777" w:rsidR="0055402A" w:rsidRPr="009F10D2" w:rsidRDefault="0055402A" w:rsidP="00526E59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F10D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3.4.</w:t>
            </w:r>
            <w:r w:rsidRPr="009F10D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ab/>
              <w:t>Ietekme uz uzņēmējdarbības vidi pašvaldības teritorijā un konkurenci – nav tiešas ietekmes.</w:t>
            </w:r>
          </w:p>
        </w:tc>
      </w:tr>
      <w:tr w:rsidR="0055402A" w:rsidRPr="0055252B" w14:paraId="30B5DF96" w14:textId="77777777" w:rsidTr="00526E59"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91156D" w14:textId="77777777" w:rsidR="0055402A" w:rsidRPr="00624F92" w:rsidRDefault="0055402A" w:rsidP="0055402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24F9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Ietekme uz administratīvajām procedūrām un to izmaksām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EF9F10" w14:textId="388BF9F7" w:rsidR="0055402A" w:rsidRPr="00B0777D" w:rsidRDefault="0055402A" w:rsidP="00526E59">
            <w:pPr>
              <w:pStyle w:val="Sarakstarindkopa"/>
              <w:spacing w:after="0" w:line="240" w:lineRule="auto"/>
              <w:ind w:left="0"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77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iekļauj līdzdalības budžeta projekta izmaksu aprēķina (tāmi) formu konkursam, kuru interesenti aizpilda un pievieno projekta pieteikuma formai valsts vienotajā ģeotelpiskās informācijas portālā http://geolatvija.lv, lai pretendētu uz projekta realizāciju. Forma nav atsevišķi jāparaks</w:t>
            </w:r>
            <w:r w:rsidR="00B959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ta, p</w:t>
            </w:r>
            <w:r w:rsidRPr="00B077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parakstu kalpo autentifikācija portālā.</w:t>
            </w:r>
          </w:p>
        </w:tc>
      </w:tr>
      <w:tr w:rsidR="0055402A" w:rsidRPr="0055252B" w14:paraId="77F021F7" w14:textId="77777777" w:rsidTr="00526E59"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4F4EDD" w14:textId="77777777" w:rsidR="0055402A" w:rsidRPr="0015661A" w:rsidRDefault="0055402A" w:rsidP="0055402A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5661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Ietekme uz pašvaldības funkcijām un cilvēkresursiem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91582B" w14:textId="77777777" w:rsidR="0055402A" w:rsidRPr="00013C7A" w:rsidRDefault="0055402A" w:rsidP="00526E59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lv-LV"/>
              </w:rPr>
            </w:pPr>
            <w:r w:rsidRPr="00B077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paredzēta jaunu institūciju vai darba vietu veidošana vai esošo institūciju kompetences paplašināšana. </w:t>
            </w:r>
          </w:p>
        </w:tc>
      </w:tr>
      <w:tr w:rsidR="0055402A" w:rsidRPr="0055252B" w14:paraId="42979224" w14:textId="77777777" w:rsidTr="00526E59"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53F159" w14:textId="77777777" w:rsidR="0055402A" w:rsidRPr="00DA3CD5" w:rsidRDefault="0055402A" w:rsidP="0055402A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3CD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izpildes nodrošināšanu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5EBD78" w14:textId="57E65642" w:rsidR="0055402A" w:rsidRPr="00013C7A" w:rsidRDefault="0055402A" w:rsidP="00526E59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lv-LV"/>
              </w:rPr>
            </w:pPr>
            <w:r w:rsidRPr="006F48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Saistošajos noteikumos paredzēto 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konkursa organizēšanu</w:t>
            </w:r>
            <w:r w:rsidRPr="006F48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atbalstu projektu iesniegšanā nodrošina 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Gulbenes novada </w:t>
            </w:r>
            <w:r w:rsidRPr="006F48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Centrālā pārvalde. Projektu atbilstību 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saistošajiem noteikumiem Nr.1</w:t>
            </w:r>
            <w:r w:rsidRPr="006F48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izvērtē komisija. Projektu atbilstību teritorijas iedzīvotāju interesēm izvērtē 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Gulbenes novada </w:t>
            </w:r>
            <w:r w:rsidRPr="006F48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pašvaldības attiecīgās teritorijas iedzīvotāju padome. Apstiprināto projektu īstenošanu nodrošina 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Gulbenes novada </w:t>
            </w:r>
            <w:r w:rsidRPr="006F48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pašvaldība.</w:t>
            </w:r>
          </w:p>
        </w:tc>
      </w:tr>
      <w:tr w:rsidR="0055402A" w:rsidRPr="0055252B" w14:paraId="2759A4E1" w14:textId="77777777" w:rsidTr="00526E59"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CE3822" w14:textId="77777777" w:rsidR="0055402A" w:rsidRPr="006F48AF" w:rsidRDefault="0055402A" w:rsidP="0055402A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F48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C4E03" w14:textId="0D4EB2A0" w:rsidR="0055402A" w:rsidRPr="006F48AF" w:rsidRDefault="0055402A" w:rsidP="00526E59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F48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Saistošie noteikumi ir atbilstoši iecerētā mērķa sasniegšanas nodrošināšanai un paredz tikai to, kas ir nepieciešams minētā mērķa sasniegšanai. 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Gulbenes novada p</w:t>
            </w:r>
            <w:r w:rsidRPr="006F48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ašvaldības paredzētie līdzekļi ir leģitīmi un rīcība ir atbilstoša augstākstāvošiem normatīv</w:t>
            </w:r>
            <w:r w:rsid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ajiem </w:t>
            </w:r>
            <w:r w:rsidRPr="006F48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aktiem.</w:t>
            </w:r>
          </w:p>
        </w:tc>
      </w:tr>
      <w:tr w:rsidR="0055402A" w:rsidRPr="00A7694B" w14:paraId="2225F499" w14:textId="77777777" w:rsidTr="00526E59">
        <w:trPr>
          <w:trHeight w:val="198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1712C5" w14:textId="77777777" w:rsidR="0055402A" w:rsidRPr="00255BC0" w:rsidRDefault="0055402A" w:rsidP="0055402A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55BC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37F0E6" w14:textId="079963F0" w:rsidR="0055402A" w:rsidRPr="00B959A1" w:rsidRDefault="0055402A" w:rsidP="00526E59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Saistošo noteikumu projekts no 2026.gada </w:t>
            </w:r>
            <w:r w:rsidR="0094290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30.janvāra</w:t>
            </w:r>
            <w:r w:rsidRP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līdz 2026.gada </w:t>
            </w:r>
            <w:r w:rsidR="0094290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12.februārim</w:t>
            </w:r>
            <w:r w:rsidRP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tika publicēts Gulbenes novada pašvaldības oficiālajā tīmekļvietnē </w:t>
            </w:r>
            <w:hyperlink r:id="rId5" w:history="1">
              <w:r w:rsidRPr="00B959A1">
                <w:rPr>
                  <w:rStyle w:val="Hipersaite"/>
                  <w:rFonts w:ascii="Times New Roman" w:eastAsia="Times New Roman" w:hAnsi="Times New Roman"/>
                  <w:color w:val="auto"/>
                  <w:sz w:val="24"/>
                  <w:szCs w:val="24"/>
                  <w:lang w:eastAsia="lv-LV"/>
                </w:rPr>
                <w:t>www.gulbene.lv</w:t>
              </w:r>
            </w:hyperlink>
            <w:r w:rsidRP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sabiedrības viedokļa noskaidrošanai.</w:t>
            </w:r>
          </w:p>
          <w:p w14:paraId="6A217F85" w14:textId="383FBA39" w:rsidR="0055402A" w:rsidRPr="00255BC0" w:rsidRDefault="00B959A1" w:rsidP="00526E59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Ierosinājumi, priekšlikumi no privātpersonām vai institūcijām </w:t>
            </w:r>
            <w:r w:rsidRPr="00B959A1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  <w:t>___</w:t>
            </w:r>
            <w:r w:rsidRPr="00B95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saņemti.</w:t>
            </w:r>
          </w:p>
        </w:tc>
      </w:tr>
    </w:tbl>
    <w:p w14:paraId="25255EE9" w14:textId="77777777" w:rsidR="0055402A" w:rsidRPr="00A7694B" w:rsidRDefault="0055402A" w:rsidP="0055402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642044" w14:textId="0C734F2E" w:rsidR="007A52BF" w:rsidRPr="00093D2F" w:rsidRDefault="0055402A" w:rsidP="00093D2F">
      <w:pPr>
        <w:ind w:right="566"/>
        <w:rPr>
          <w:rFonts w:ascii="Times New Roman" w:hAnsi="Times New Roman" w:cs="Times New Roman"/>
          <w:sz w:val="24"/>
          <w:szCs w:val="24"/>
        </w:rPr>
      </w:pPr>
      <w:r w:rsidRPr="00E11729">
        <w:rPr>
          <w:rFonts w:ascii="Times New Roman" w:hAnsi="Times New Roman" w:cs="Times New Roman"/>
          <w:sz w:val="24"/>
          <w:szCs w:val="24"/>
        </w:rPr>
        <w:lastRenderedPageBreak/>
        <w:t>Gulbenes novada pašvaldības domes priekšsēdētājs</w:t>
      </w:r>
      <w:r w:rsidRPr="00E11729">
        <w:rPr>
          <w:rFonts w:ascii="Times New Roman" w:hAnsi="Times New Roman" w:cs="Times New Roman"/>
          <w:sz w:val="24"/>
          <w:szCs w:val="24"/>
        </w:rPr>
        <w:tab/>
      </w:r>
      <w:r w:rsidRPr="00E11729">
        <w:rPr>
          <w:rFonts w:ascii="Times New Roman" w:hAnsi="Times New Roman" w:cs="Times New Roman"/>
          <w:sz w:val="24"/>
          <w:szCs w:val="24"/>
        </w:rPr>
        <w:tab/>
      </w:r>
      <w:r w:rsidRPr="00E117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1729">
        <w:rPr>
          <w:rFonts w:ascii="Times New Roman" w:hAnsi="Times New Roman" w:cs="Times New Roman"/>
          <w:sz w:val="24"/>
          <w:szCs w:val="24"/>
        </w:rPr>
        <w:t>N.Mazūr</w:t>
      </w:r>
      <w:r w:rsidR="00093D2F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sectPr w:rsidR="007A52BF" w:rsidRPr="00093D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879F5"/>
    <w:multiLevelType w:val="multilevel"/>
    <w:tmpl w:val="BE60E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C57A0"/>
    <w:multiLevelType w:val="multilevel"/>
    <w:tmpl w:val="8938C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F451A"/>
    <w:multiLevelType w:val="multilevel"/>
    <w:tmpl w:val="6C0692CE"/>
    <w:lvl w:ilvl="0">
      <w:start w:val="3"/>
      <w:numFmt w:val="decimal"/>
      <w:lvlText w:val="%1."/>
      <w:lvlJc w:val="left"/>
      <w:pPr>
        <w:tabs>
          <w:tab w:val="num" w:pos="2629"/>
        </w:tabs>
        <w:ind w:left="2629" w:hanging="360"/>
      </w:pPr>
      <w:rPr>
        <w:b w:val="0"/>
        <w:bCs w:val="0"/>
      </w:rPr>
    </w:lvl>
    <w:lvl w:ilvl="1">
      <w:start w:val="1"/>
      <w:numFmt w:val="bullet"/>
      <w:lvlText w:val="-"/>
      <w:lvlJc w:val="left"/>
      <w:pPr>
        <w:ind w:left="3349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3" w15:restartNumberingAfterBreak="0">
    <w:nsid w:val="63283BD7"/>
    <w:multiLevelType w:val="multilevel"/>
    <w:tmpl w:val="CF545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1E0F6C"/>
    <w:multiLevelType w:val="multilevel"/>
    <w:tmpl w:val="3F18D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B67B6"/>
    <w:multiLevelType w:val="multilevel"/>
    <w:tmpl w:val="31667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909D2"/>
    <w:multiLevelType w:val="multilevel"/>
    <w:tmpl w:val="A8C89F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B00E9"/>
    <w:multiLevelType w:val="multilevel"/>
    <w:tmpl w:val="8D149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0312822">
    <w:abstractNumId w:val="1"/>
  </w:num>
  <w:num w:numId="2" w16cid:durableId="1989092058">
    <w:abstractNumId w:val="3"/>
  </w:num>
  <w:num w:numId="3" w16cid:durableId="810564334">
    <w:abstractNumId w:val="2"/>
  </w:num>
  <w:num w:numId="4" w16cid:durableId="1020551567">
    <w:abstractNumId w:val="5"/>
  </w:num>
  <w:num w:numId="5" w16cid:durableId="591813464">
    <w:abstractNumId w:val="7"/>
  </w:num>
  <w:num w:numId="6" w16cid:durableId="345450225">
    <w:abstractNumId w:val="4"/>
  </w:num>
  <w:num w:numId="7" w16cid:durableId="183056058">
    <w:abstractNumId w:val="0"/>
  </w:num>
  <w:num w:numId="8" w16cid:durableId="1797597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2A"/>
    <w:rsid w:val="00093D2F"/>
    <w:rsid w:val="004A4918"/>
    <w:rsid w:val="0055402A"/>
    <w:rsid w:val="00686EF3"/>
    <w:rsid w:val="007A52BF"/>
    <w:rsid w:val="00942907"/>
    <w:rsid w:val="009B50D4"/>
    <w:rsid w:val="00B1283D"/>
    <w:rsid w:val="00B959A1"/>
    <w:rsid w:val="00D7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2EED2"/>
  <w15:chartTrackingRefBased/>
  <w15:docId w15:val="{7593E026-BD74-4A80-9C6C-D439B967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5402A"/>
    <w:pPr>
      <w:spacing w:line="25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54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54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54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54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54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54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54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54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54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54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54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54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5402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5402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5402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5402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5402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5402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54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5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54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54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54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5402A"/>
    <w:rPr>
      <w:i/>
      <w:iCs/>
      <w:color w:val="404040" w:themeColor="text1" w:themeTint="BF"/>
    </w:r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55402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5402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54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5402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5402A"/>
    <w:rPr>
      <w:b/>
      <w:bCs/>
      <w:smallCaps/>
      <w:color w:val="2F5496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5540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5402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5402A"/>
    <w:rPr>
      <w:kern w:val="0"/>
      <w:sz w:val="20"/>
      <w:szCs w:val="20"/>
      <w14:ligatures w14:val="none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55402A"/>
  </w:style>
  <w:style w:type="character" w:styleId="Hipersaite">
    <w:name w:val="Hyperlink"/>
    <w:basedOn w:val="Noklusjumarindkopasfonts"/>
    <w:uiPriority w:val="99"/>
    <w:unhideWhenUsed/>
    <w:rsid w:val="0055402A"/>
    <w:rPr>
      <w:color w:val="0000FF"/>
      <w:u w:val="singl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959A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959A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3028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Inga Lapse</cp:lastModifiedBy>
  <cp:revision>3</cp:revision>
  <dcterms:created xsi:type="dcterms:W3CDTF">2026-01-28T08:09:00Z</dcterms:created>
  <dcterms:modified xsi:type="dcterms:W3CDTF">2026-01-29T10:21:00Z</dcterms:modified>
</cp:coreProperties>
</file>