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62B3" w14:textId="77777777" w:rsidR="007B756E" w:rsidRPr="007B756E" w:rsidRDefault="007B756E" w:rsidP="007B756E">
      <w:pPr>
        <w:tabs>
          <w:tab w:val="left" w:pos="6237"/>
        </w:tabs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1.pielikums</w:t>
      </w:r>
    </w:p>
    <w:p w14:paraId="522E2D34" w14:textId="7451C69A" w:rsidR="007B756E" w:rsidRPr="007B756E" w:rsidRDefault="007B756E" w:rsidP="007B756E">
      <w:pPr>
        <w:tabs>
          <w:tab w:val="left" w:pos="5529"/>
        </w:tabs>
        <w:spacing w:after="0" w:line="240" w:lineRule="auto"/>
        <w:ind w:left="5387" w:hanging="70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iepirkuma “Ekspertīze  būvprojektam “Lizuma pamatskolas iekštelpu atjaunošana un energoefektivitātes paaugstināšana”</w:t>
      </w:r>
      <w:r w:rsidR="00121E41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</w:t>
      </w:r>
      <w:r w:rsidRPr="007B756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līgumam </w:t>
      </w:r>
    </w:p>
    <w:p w14:paraId="508900A7" w14:textId="0188E10E" w:rsidR="007B756E" w:rsidRPr="00E9648A" w:rsidRDefault="007B756E" w:rsidP="007B756E">
      <w:pPr>
        <w:tabs>
          <w:tab w:val="left" w:pos="6237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lv-LV"/>
          <w14:ligatures w14:val="none"/>
        </w:rPr>
      </w:pPr>
      <w:r w:rsidRPr="00E9648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lv-LV"/>
          <w14:ligatures w14:val="none"/>
        </w:rPr>
        <w:t>(ID Nr. GNP</w:t>
      </w:r>
      <w:r w:rsidR="00E9648A" w:rsidRPr="00E9648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lv-LV"/>
          <w14:ligatures w14:val="none"/>
        </w:rPr>
        <w:t>/</w:t>
      </w:r>
      <w:r w:rsidRPr="00E9648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lv-LV"/>
          <w14:ligatures w14:val="none"/>
        </w:rPr>
        <w:t xml:space="preserve"> 202</w:t>
      </w:r>
      <w:r w:rsidR="00E9648A" w:rsidRPr="00E9648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lv-LV"/>
          <w14:ligatures w14:val="none"/>
        </w:rPr>
        <w:t>6</w:t>
      </w:r>
      <w:r w:rsidRPr="00E9648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lv-LV"/>
          <w14:ligatures w14:val="none"/>
        </w:rPr>
        <w:t>/</w:t>
      </w:r>
      <w:r w:rsidR="00E9648A" w:rsidRPr="00E9648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lv-LV"/>
          <w14:ligatures w14:val="none"/>
        </w:rPr>
        <w:t>TI/16</w:t>
      </w:r>
      <w:r w:rsidRPr="00E9648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lv-LV"/>
          <w14:ligatures w14:val="none"/>
        </w:rPr>
        <w:t>)</w:t>
      </w:r>
    </w:p>
    <w:p w14:paraId="32EADB90" w14:textId="77777777" w:rsidR="007B756E" w:rsidRPr="007B756E" w:rsidRDefault="007B756E" w:rsidP="007B756E">
      <w:pPr>
        <w:keepLines/>
        <w:widowControl w:val="0"/>
        <w:spacing w:before="120"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:lang w:eastAsia="lv-LV"/>
          <w14:ligatures w14:val="none"/>
        </w:rPr>
      </w:pPr>
    </w:p>
    <w:p w14:paraId="76F5F56E" w14:textId="77777777" w:rsidR="007B756E" w:rsidRPr="007B756E" w:rsidRDefault="007B756E" w:rsidP="007B756E">
      <w:pPr>
        <w:keepLines/>
        <w:widowControl w:val="0"/>
        <w:spacing w:before="120"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Darba uzdevums</w:t>
      </w:r>
    </w:p>
    <w:p w14:paraId="54D58029" w14:textId="77777777" w:rsidR="007B756E" w:rsidRPr="007B756E" w:rsidRDefault="007B756E" w:rsidP="007B7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lv-LV"/>
          <w14:ligatures w14:val="none"/>
        </w:rPr>
      </w:pPr>
    </w:p>
    <w:p w14:paraId="1DA280D5" w14:textId="77777777" w:rsidR="007B756E" w:rsidRPr="007B756E" w:rsidRDefault="007B756E" w:rsidP="007B756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b/>
          <w:bCs/>
          <w:kern w:val="0"/>
          <w:szCs w:val="20"/>
          <w:lang w:eastAsia="lv-LV"/>
          <w14:ligatures w14:val="none"/>
        </w:rPr>
        <w:t xml:space="preserve">Vispārīgie jautājumi                  </w:t>
      </w:r>
      <w:r w:rsidRPr="007B756E">
        <w:rPr>
          <w:rFonts w:ascii="Times New Roman" w:eastAsia="Times New Roman" w:hAnsi="Times New Roman" w:cs="Times New Roman"/>
          <w:b/>
          <w:bCs/>
          <w:i/>
          <w:kern w:val="0"/>
          <w:szCs w:val="20"/>
          <w:lang w:eastAsia="lv-LV"/>
          <w14:ligatures w14:val="none"/>
        </w:rPr>
        <w:t xml:space="preserve">                         </w:t>
      </w:r>
    </w:p>
    <w:p w14:paraId="7E354058" w14:textId="77777777" w:rsidR="007B756E" w:rsidRPr="007B756E" w:rsidRDefault="007B756E" w:rsidP="007B756E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Narrow" w:eastAsia="Calibri" w:hAnsi="ArialNarrow" w:cs="ArialNarrow"/>
          <w:kern w:val="0"/>
          <w:sz w:val="2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b/>
          <w:kern w:val="0"/>
          <w:szCs w:val="20"/>
          <w:lang w:eastAsia="lv-LV"/>
          <w14:ligatures w14:val="none"/>
        </w:rPr>
        <w:t>Būvprojekta nosaukums: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 </w:t>
      </w:r>
      <w:r w:rsidRPr="007B756E">
        <w:rPr>
          <w:rFonts w:ascii="Times New Roman" w:eastAsia="Times New Roman" w:hAnsi="Times New Roman" w:cs="Times New Roman"/>
          <w:b/>
          <w:kern w:val="0"/>
          <w:szCs w:val="20"/>
          <w:lang w:eastAsia="lv-LV"/>
          <w14:ligatures w14:val="none"/>
        </w:rPr>
        <w:t>Lizuma pamatskolas iekštelpu atjaunošana un energoefektivitātes paaugstināšana</w:t>
      </w:r>
    </w:p>
    <w:p w14:paraId="5BF26F6C" w14:textId="77777777" w:rsidR="007B756E" w:rsidRPr="007B756E" w:rsidRDefault="007B756E" w:rsidP="007B756E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b/>
          <w:kern w:val="0"/>
          <w:szCs w:val="20"/>
          <w:lang w:eastAsia="lv-LV"/>
          <w14:ligatures w14:val="none"/>
        </w:rPr>
        <w:t>Būvobjekta adrese: “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Pils”, Lizums, Lizuma pag., Gulbenes nov., LV-4425.</w:t>
      </w:r>
      <w:r w:rsidRPr="007B756E">
        <w:rPr>
          <w:rFonts w:ascii="Times New Roman" w:eastAsia="Times New Roman" w:hAnsi="Times New Roman" w:cs="Times New Roman"/>
          <w:b/>
          <w:kern w:val="0"/>
          <w:szCs w:val="20"/>
          <w:lang w:eastAsia="lv-LV"/>
          <w14:ligatures w14:val="none"/>
        </w:rPr>
        <w:t xml:space="preserve">  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Zemesgabala kadastra Nr. 50720060259004</w:t>
      </w:r>
    </w:p>
    <w:p w14:paraId="7EA95B05" w14:textId="77777777" w:rsidR="007B756E" w:rsidRPr="007B756E" w:rsidRDefault="007B756E" w:rsidP="007B756E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b/>
          <w:kern w:val="0"/>
          <w:szCs w:val="20"/>
          <w:lang w:eastAsia="lv-LV"/>
          <w14:ligatures w14:val="none"/>
        </w:rPr>
        <w:t>Ekspertīzes Pasūtītājs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 – Gulbenes novada pašvaldība, </w:t>
      </w:r>
      <w:proofErr w:type="spellStart"/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reģ</w:t>
      </w:r>
      <w:proofErr w:type="spellEnd"/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. Nr.90009116327 (turpmāk tekstā – Pasūtītājs), adrese: Ābeļu iela 2, Gulbene, Gulbenes novads, LV – 4401</w:t>
      </w:r>
    </w:p>
    <w:p w14:paraId="4215D863" w14:textId="77777777" w:rsidR="007B756E" w:rsidRPr="007B756E" w:rsidRDefault="007B756E" w:rsidP="007B756E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b/>
          <w:kern w:val="0"/>
          <w:szCs w:val="20"/>
          <w:lang w:eastAsia="lv-LV"/>
          <w14:ligatures w14:val="none"/>
        </w:rPr>
        <w:t>Ekspertīzes Izpildītājs (turpmāk tekstā Izpildītājs)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 - juridiskā persona, kura uzņemas gan atbildīgā eksperta, gan ekspertīzes vadītāja pienākumus un atbildību.</w:t>
      </w:r>
    </w:p>
    <w:p w14:paraId="5B1B1452" w14:textId="77777777" w:rsidR="007B756E" w:rsidRPr="007B756E" w:rsidRDefault="007B756E" w:rsidP="007B756E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b/>
          <w:kern w:val="0"/>
          <w:szCs w:val="20"/>
          <w:lang w:eastAsia="lv-LV"/>
          <w14:ligatures w14:val="none"/>
        </w:rPr>
        <w:t>Būvniecības veids–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 Atjaunošana, restaurācija</w:t>
      </w:r>
    </w:p>
    <w:p w14:paraId="38E77D22" w14:textId="77777777" w:rsidR="007B756E" w:rsidRPr="007B756E" w:rsidRDefault="007B756E" w:rsidP="007B756E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b/>
          <w:kern w:val="0"/>
          <w:szCs w:val="20"/>
          <w:lang w:eastAsia="lv-LV"/>
          <w14:ligatures w14:val="none"/>
        </w:rPr>
        <w:t xml:space="preserve">Būvobjekta tehniskie rādītāji: </w:t>
      </w:r>
    </w:p>
    <w:p w14:paraId="23B8580C" w14:textId="77777777" w:rsidR="007B756E" w:rsidRPr="007B756E" w:rsidRDefault="007B756E" w:rsidP="007B756E">
      <w:pPr>
        <w:numPr>
          <w:ilvl w:val="2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Ēkas galvenais lietošanas veids: 1263 Skolas, universitātes un zinātniskajai pētniecībai paredzētās ēkas</w:t>
      </w:r>
    </w:p>
    <w:p w14:paraId="72167DE7" w14:textId="77777777" w:rsidR="007B756E" w:rsidRPr="007B756E" w:rsidRDefault="007B756E" w:rsidP="007B756E">
      <w:pPr>
        <w:numPr>
          <w:ilvl w:val="2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Būves grupa: III grupa;</w:t>
      </w:r>
    </w:p>
    <w:p w14:paraId="63E8F3F0" w14:textId="77777777" w:rsidR="007B756E" w:rsidRPr="007B756E" w:rsidRDefault="007B756E" w:rsidP="007B756E">
      <w:pPr>
        <w:numPr>
          <w:ilvl w:val="2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Ēkas apbūves laukums:</w:t>
      </w:r>
      <w:r w:rsidRPr="007B756E">
        <w:rPr>
          <w:rFonts w:ascii="ArialNarrow" w:eastAsia="Calibri" w:hAnsi="ArialNarrow" w:cs="ArialNarrow"/>
          <w:kern w:val="0"/>
          <w:szCs w:val="20"/>
          <w:lang w:eastAsia="lv-LV"/>
          <w14:ligatures w14:val="none"/>
        </w:rPr>
        <w:t xml:space="preserve"> 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920 m</w:t>
      </w:r>
      <w:r w:rsidRPr="007B756E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v-LV"/>
          <w14:ligatures w14:val="none"/>
        </w:rPr>
        <w:t>2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;</w:t>
      </w:r>
    </w:p>
    <w:p w14:paraId="7AE3231D" w14:textId="77777777" w:rsidR="007B756E" w:rsidRPr="007B756E" w:rsidRDefault="007B756E" w:rsidP="007B756E">
      <w:pPr>
        <w:numPr>
          <w:ilvl w:val="2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Ēkas kopējā stāvu platība: 2413,2 m</w:t>
      </w:r>
      <w:r w:rsidRPr="007B756E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v-LV"/>
          <w14:ligatures w14:val="none"/>
        </w:rPr>
        <w:t>2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;</w:t>
      </w:r>
    </w:p>
    <w:p w14:paraId="76C70312" w14:textId="77777777" w:rsidR="007B756E" w:rsidRPr="007B756E" w:rsidRDefault="007B756E" w:rsidP="007B756E">
      <w:pPr>
        <w:numPr>
          <w:ilvl w:val="2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Virszemes stāvu skaits: 5 stāvi;</w:t>
      </w:r>
    </w:p>
    <w:p w14:paraId="4BCDCD56" w14:textId="77777777" w:rsidR="007B756E" w:rsidRPr="007B756E" w:rsidRDefault="007B756E" w:rsidP="007B756E">
      <w:pPr>
        <w:numPr>
          <w:ilvl w:val="2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Pazemes stāvu skaits: 1;</w:t>
      </w:r>
    </w:p>
    <w:p w14:paraId="314B4990" w14:textId="77777777" w:rsidR="007B756E" w:rsidRPr="007B756E" w:rsidRDefault="007B756E" w:rsidP="007B756E">
      <w:pPr>
        <w:numPr>
          <w:ilvl w:val="2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proofErr w:type="spellStart"/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Būvtilpums</w:t>
      </w:r>
      <w:proofErr w:type="spellEnd"/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 pēc pārbūves: 9541 m</w:t>
      </w:r>
      <w:r w:rsidRPr="007B756E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v-LV"/>
          <w14:ligatures w14:val="none"/>
        </w:rPr>
        <w:t>3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;</w:t>
      </w:r>
    </w:p>
    <w:p w14:paraId="3051F3AD" w14:textId="77777777" w:rsidR="007B756E" w:rsidRPr="007B756E" w:rsidRDefault="007B756E" w:rsidP="007B756E">
      <w:pPr>
        <w:numPr>
          <w:ilvl w:val="2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proofErr w:type="spellStart"/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Ugunsnoturības</w:t>
      </w:r>
      <w:proofErr w:type="spellEnd"/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 pakāpe: U2a.</w:t>
      </w:r>
    </w:p>
    <w:p w14:paraId="52FE0FEF" w14:textId="77777777" w:rsidR="007B756E" w:rsidRPr="007B756E" w:rsidRDefault="007B756E" w:rsidP="007B756E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trike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Pasūtītājs izveido pilnvaru Būvniecības informācijas sistēmā (turpmāk tekstā  - BIS) ar piekļuvi šai būvniecības lietai ekspertīzes darbu veikšanai.</w:t>
      </w:r>
    </w:p>
    <w:p w14:paraId="77B626BA" w14:textId="385CE3E7" w:rsidR="007B756E" w:rsidRPr="00F354C9" w:rsidRDefault="007B756E" w:rsidP="007B756E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F354C9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Būvprojekta ekspertīze jāveic ne ilgāk kā  </w:t>
      </w:r>
      <w:r w:rsidR="00E4136D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5</w:t>
      </w:r>
      <w:r w:rsidRPr="00F354C9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 (</w:t>
      </w:r>
      <w:r w:rsidR="00E4136D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piecu</w:t>
      </w:r>
      <w:r w:rsidRPr="00F354C9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) </w:t>
      </w:r>
      <w:r w:rsidR="00E4136D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darba </w:t>
      </w:r>
      <w:r w:rsidRPr="00F354C9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dienu laikā pēc pilnvaras saņemšanas un būvprojekta visas dokumentācijas pieejamības BIS.</w:t>
      </w:r>
    </w:p>
    <w:p w14:paraId="21F8A4C9" w14:textId="135F521C" w:rsidR="007B756E" w:rsidRPr="00F354C9" w:rsidRDefault="007B756E" w:rsidP="007B756E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F354C9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Pēc kļūdu novēršanas jāveic būvprojekta atkārtotu izvērtēšanu un pārbaudi, un jāsniedz būvprojekta ekspertīzes atzinums ne ilgāk kā  </w:t>
      </w:r>
      <w:r w:rsidR="00E4136D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5</w:t>
      </w:r>
      <w:r w:rsidR="00E4136D" w:rsidRPr="00F354C9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 (</w:t>
      </w:r>
      <w:r w:rsidR="00E4136D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piecu</w:t>
      </w:r>
      <w:r w:rsidR="00E4136D" w:rsidRPr="00F354C9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) </w:t>
      </w:r>
      <w:r w:rsidR="00E4136D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darba </w:t>
      </w:r>
      <w:r w:rsidRPr="00F354C9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dienu pēc koriģētā būvprojekta saņemšanas.</w:t>
      </w:r>
    </w:p>
    <w:p w14:paraId="5AD66632" w14:textId="77777777" w:rsidR="007B756E" w:rsidRPr="00F354C9" w:rsidRDefault="007B756E" w:rsidP="007B756E">
      <w:pPr>
        <w:tabs>
          <w:tab w:val="left" w:pos="567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EE0000"/>
          <w:kern w:val="0"/>
          <w:szCs w:val="20"/>
          <w:lang w:eastAsia="lv-LV"/>
          <w14:ligatures w14:val="none"/>
        </w:rPr>
      </w:pPr>
      <w:r w:rsidRPr="00F354C9">
        <w:rPr>
          <w:rFonts w:ascii="Times New Roman" w:eastAsia="Times New Roman" w:hAnsi="Times New Roman" w:cs="Times New Roman"/>
          <w:color w:val="EE0000"/>
          <w:kern w:val="0"/>
          <w:szCs w:val="20"/>
          <w:lang w:eastAsia="lv-LV"/>
          <w14:ligatures w14:val="none"/>
        </w:rPr>
        <w:t xml:space="preserve"> </w:t>
      </w:r>
    </w:p>
    <w:p w14:paraId="6E1B6853" w14:textId="77777777" w:rsidR="007B756E" w:rsidRPr="00F354C9" w:rsidRDefault="007B756E" w:rsidP="007B756E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shd w:val="clear" w:color="auto" w:fill="FFFFFF"/>
          <w:lang w:eastAsia="lv-LV"/>
          <w14:ligatures w14:val="none"/>
        </w:rPr>
      </w:pPr>
      <w:r w:rsidRPr="00F354C9">
        <w:rPr>
          <w:rFonts w:ascii="Times New Roman" w:eastAsia="Times New Roman" w:hAnsi="Times New Roman" w:cs="Times New Roman"/>
          <w:b/>
          <w:kern w:val="0"/>
          <w:szCs w:val="20"/>
          <w:shd w:val="clear" w:color="auto" w:fill="FFFFFF"/>
          <w:lang w:eastAsia="lv-LV"/>
          <w14:ligatures w14:val="none"/>
        </w:rPr>
        <w:t xml:space="preserve">Darba uzdevums </w:t>
      </w:r>
      <w:r w:rsidRPr="00F354C9">
        <w:rPr>
          <w:rFonts w:ascii="Times New Roman" w:eastAsia="Times New Roman" w:hAnsi="Times New Roman" w:cs="Times New Roman"/>
          <w:b/>
          <w:kern w:val="0"/>
          <w:szCs w:val="20"/>
          <w:lang w:eastAsia="lv-LV"/>
          <w14:ligatures w14:val="none"/>
        </w:rPr>
        <w:t xml:space="preserve">Būvprojekta </w:t>
      </w:r>
      <w:r w:rsidRPr="00F354C9">
        <w:rPr>
          <w:rFonts w:ascii="Times New Roman" w:eastAsia="Times New Roman" w:hAnsi="Times New Roman" w:cs="Times New Roman"/>
          <w:b/>
          <w:kern w:val="0"/>
          <w:szCs w:val="20"/>
          <w:shd w:val="clear" w:color="auto" w:fill="FFFFFF"/>
          <w:lang w:eastAsia="lv-LV"/>
          <w14:ligatures w14:val="none"/>
        </w:rPr>
        <w:t>ekspertīzei</w:t>
      </w:r>
    </w:p>
    <w:p w14:paraId="2C7E2207" w14:textId="0DC74C00" w:rsidR="007B756E" w:rsidRPr="007B756E" w:rsidRDefault="007B756E" w:rsidP="007B756E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354C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Veikt būvprojekta BK sadaļas  bojāto koka siju nomaiņas risinājuma ekspertīzi atbilstoši Ministru kabineta 2014.gada 19.augusta noteikumiem Nr.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500 „Vispārīgie būvnoteikumi”, Ministru kabineta 2014.gada 2.septembra noteikumiem Nr.529 “Ēku būvnoteikumi” 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un citiem saistošajiem normatīvajiem aktiem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;</w:t>
      </w:r>
    </w:p>
    <w:p w14:paraId="7DEC3357" w14:textId="77777777" w:rsidR="007B756E" w:rsidRPr="007B756E" w:rsidRDefault="007B756E" w:rsidP="007B756E">
      <w:pPr>
        <w:numPr>
          <w:ilvl w:val="1"/>
          <w:numId w:val="1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Pārbaudīt būvprojekta atbilstību 02.09.2014. Ministru kabineta  noteikumiem Nr.529 “Ēku būvnoteikumi” 72.punktam Trešās grupas ēku būvprojekta sastāvdaļas.</w:t>
      </w:r>
    </w:p>
    <w:p w14:paraId="697A97C6" w14:textId="105EAA4D" w:rsidR="007B756E" w:rsidRPr="007B756E" w:rsidRDefault="007B756E" w:rsidP="007B756E">
      <w:pPr>
        <w:numPr>
          <w:ilvl w:val="1"/>
          <w:numId w:val="1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Izvērtēt būvprojekta 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BK daļas izmaiņu 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risinājumu atbilstību būvniecību reglamentējošo normatīvo aktu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un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tehnisko noteikumu prasībām;</w:t>
      </w:r>
    </w:p>
    <w:p w14:paraId="1F1D7AD9" w14:textId="77777777" w:rsidR="007B756E" w:rsidRPr="007B756E" w:rsidRDefault="007B756E" w:rsidP="007B756E">
      <w:pPr>
        <w:numPr>
          <w:ilvl w:val="1"/>
          <w:numId w:val="1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Pārbaudīt atsevišķo būvprojekta daļu ietvaros izstrādāto risinājumu savstarpējo saskaņotību un būvprojekta daļu atbilstību būvprojektam kopumā.</w:t>
      </w:r>
    </w:p>
    <w:p w14:paraId="48FE8A3C" w14:textId="77777777" w:rsidR="007B756E" w:rsidRPr="007B756E" w:rsidRDefault="007B756E" w:rsidP="007B756E">
      <w:pPr>
        <w:widowControl w:val="0"/>
        <w:numPr>
          <w:ilvl w:val="1"/>
          <w:numId w:val="1"/>
        </w:numPr>
        <w:suppressLineNumbers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lastRenderedPageBreak/>
        <w:t xml:space="preserve">Izvērtēt projektēto nozīmīgo būvkonstrukciju noturību, pārbaudīt slodžu un konstrukciju aprēķinus. </w:t>
      </w:r>
    </w:p>
    <w:p w14:paraId="6809EA80" w14:textId="1B29D78D" w:rsidR="007B756E" w:rsidRPr="007B756E" w:rsidRDefault="007B756E" w:rsidP="007B756E">
      <w:pPr>
        <w:widowControl w:val="0"/>
        <w:numPr>
          <w:ilvl w:val="1"/>
          <w:numId w:val="1"/>
        </w:numPr>
        <w:suppressLineNumbers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Būvprojekta ekspertīzi veikt atbilstoši 19.08.2014. Ministru kabineta noteikumu Nr.500 „Vispārīgie būvnoteikumi”  piektās nodaļas „</w:t>
      </w:r>
      <w:r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Būve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kspertīze”</w:t>
      </w:r>
      <w:r w:rsidRPr="007B756E">
        <w:rPr>
          <w:rFonts w:ascii="Times New Roman" w:eastAsia="Times New Roman" w:hAnsi="Times New Roman" w:cs="Times New Roman"/>
          <w:bCs/>
          <w:kern w:val="0"/>
          <w:szCs w:val="20"/>
          <w:shd w:val="clear" w:color="auto" w:fill="FFFFFF"/>
          <w:lang w:eastAsia="lv-LV"/>
          <w14:ligatures w14:val="none"/>
        </w:rPr>
        <w:t xml:space="preserve">  nosacījumiem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.</w:t>
      </w:r>
    </w:p>
    <w:p w14:paraId="7104F9E1" w14:textId="1366006B" w:rsidR="007B756E" w:rsidRPr="007B756E" w:rsidRDefault="007B756E" w:rsidP="007B756E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Izpildītājam ir tiesības pieprasīt un saņemt no SIA "BRK Projekti" projektēto būvkonstrukciju slodžu un konstrukciju aprēķinus, kā arī citu informāciju par būvprojektu</w:t>
      </w:r>
      <w:r w:rsidR="00143B28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.</w:t>
      </w:r>
    </w:p>
    <w:p w14:paraId="66F319D5" w14:textId="77777777" w:rsidR="007B756E" w:rsidRPr="007B756E" w:rsidRDefault="007B756E" w:rsidP="007B756E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Ekspertīzes laikā konstatēto trūkumu novēršanai Izpildītājam ir tiesības pieprasīt un  saņemt no SIA "BRK Projekti" būvprojekta dokumentācijas labojumus un iekļaut tos ekspertīzes gala slēdzienā. </w:t>
      </w:r>
    </w:p>
    <w:p w14:paraId="1732EC34" w14:textId="77777777" w:rsidR="007B756E" w:rsidRPr="007B756E" w:rsidRDefault="007B756E" w:rsidP="007B756E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Izpildītājs nav tiesīgs mainīt būvprojekta dokumentācijas saturu vai veikt labojumus būvprojektā.</w:t>
      </w:r>
    </w:p>
    <w:p w14:paraId="179C48FB" w14:textId="77777777" w:rsidR="007B756E" w:rsidRPr="007B756E" w:rsidRDefault="007B756E" w:rsidP="007B756E">
      <w:pPr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shd w:val="clear" w:color="auto" w:fill="FFFFFF"/>
          <w:lang w:eastAsia="lv-LV"/>
          <w14:ligatures w14:val="none"/>
        </w:rPr>
        <w:t>Atbildīgais eksperts, kurš sniedzis pozitīvu atzinumu par būvprojektu, kopā ar būvprojekta atbildīgo projektētāju ir solidāri atbildīgs par būvprojekta risinājumu atbilstību normatīvo aktu un tehnisko noteikumu prasībām.</w:t>
      </w:r>
    </w:p>
    <w:p w14:paraId="61A8809A" w14:textId="77777777" w:rsidR="007B756E" w:rsidRPr="007B756E" w:rsidRDefault="007B756E" w:rsidP="007B756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EE0000"/>
          <w:kern w:val="0"/>
          <w:szCs w:val="20"/>
          <w:lang w:eastAsia="lv-LV"/>
          <w14:ligatures w14:val="none"/>
        </w:rPr>
      </w:pPr>
    </w:p>
    <w:p w14:paraId="185A6F5C" w14:textId="77777777" w:rsidR="007B756E" w:rsidRPr="007B756E" w:rsidRDefault="007B756E" w:rsidP="007B756E">
      <w:pPr>
        <w:numPr>
          <w:ilvl w:val="0"/>
          <w:numId w:val="1"/>
        </w:numPr>
        <w:spacing w:before="120"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b/>
          <w:bCs/>
          <w:kern w:val="0"/>
          <w:szCs w:val="20"/>
          <w:lang w:eastAsia="lv-LV"/>
          <w14:ligatures w14:val="none"/>
        </w:rPr>
        <w:t>Būvprojekta daļas, kurām veicama ekspertīze:</w:t>
      </w:r>
    </w:p>
    <w:p w14:paraId="606EE6F9" w14:textId="5AA4E812" w:rsidR="007B756E" w:rsidRPr="007B756E" w:rsidRDefault="007B756E" w:rsidP="007B756E">
      <w:pPr>
        <w:numPr>
          <w:ilvl w:val="1"/>
          <w:numId w:val="1"/>
        </w:numPr>
        <w:spacing w:before="120"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 xml:space="preserve"> Būvkonstrukciju daļa</w:t>
      </w:r>
      <w:r w:rsidR="00143B28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s izmaiņu risinājumi</w:t>
      </w: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.</w:t>
      </w:r>
    </w:p>
    <w:p w14:paraId="199FD466" w14:textId="77777777" w:rsidR="007B756E" w:rsidRPr="007B756E" w:rsidRDefault="007B756E" w:rsidP="007B756E">
      <w:pPr>
        <w:spacing w:before="120" w:after="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3A3FCC9" w14:textId="77777777" w:rsidR="007B756E" w:rsidRPr="007B756E" w:rsidRDefault="007B756E" w:rsidP="007B756E">
      <w:pPr>
        <w:numPr>
          <w:ilvl w:val="0"/>
          <w:numId w:val="1"/>
        </w:numPr>
        <w:spacing w:before="120"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  <w:r w:rsidRPr="007B756E"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  <w:t>Būvprojekta ekspertīzes atzinums jāiesniedz BIS, kā arī jāiesūta elektroniski līgumā norādītajai kontaktpersonai e-pastā, kas ar pieņemšanas – nodošanas aktu tiek nodots Pasūtītājam. Konstrukciju aprēķinu kopsavilkumu iesniedz atsevišķā failā.</w:t>
      </w:r>
    </w:p>
    <w:p w14:paraId="6525798B" w14:textId="77777777" w:rsidR="007B756E" w:rsidRPr="007B756E" w:rsidRDefault="007B756E" w:rsidP="007B75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kern w:val="0"/>
          <w:szCs w:val="20"/>
          <w:lang w:eastAsia="lv-LV"/>
          <w14:ligatures w14:val="none"/>
        </w:rPr>
      </w:pPr>
    </w:p>
    <w:p w14:paraId="69B4B11F" w14:textId="77777777" w:rsidR="007B756E" w:rsidRPr="007B756E" w:rsidRDefault="007B756E" w:rsidP="007B756E">
      <w:pPr>
        <w:spacing w:after="0" w:line="276" w:lineRule="auto"/>
        <w:jc w:val="both"/>
        <w:rPr>
          <w:rFonts w:ascii="Times New Roman" w:eastAsia="Calibri" w:hAnsi="Times New Roman" w:cs="Times New Roman"/>
          <w:color w:val="EE0000"/>
          <w:kern w:val="0"/>
          <w:szCs w:val="20"/>
          <w:lang w:eastAsia="lv-LV"/>
          <w14:ligatures w14:val="none"/>
        </w:rPr>
      </w:pPr>
    </w:p>
    <w:p w14:paraId="53FBD41E" w14:textId="77777777" w:rsidR="007B756E" w:rsidRPr="007B756E" w:rsidRDefault="007B756E" w:rsidP="007B756E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EE0000"/>
          <w:kern w:val="0"/>
          <w:lang w:eastAsia="lv-LV"/>
          <w14:ligatures w14:val="none"/>
        </w:rPr>
      </w:pPr>
    </w:p>
    <w:p w14:paraId="7F056547" w14:textId="77777777" w:rsidR="007B756E" w:rsidRPr="007B756E" w:rsidRDefault="007B756E" w:rsidP="007B756E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Cs w:val="20"/>
          <w:lang w:eastAsia="lv-LV"/>
          <w14:ligatures w14:val="none"/>
        </w:rPr>
      </w:pPr>
    </w:p>
    <w:p w14:paraId="5DE29364" w14:textId="77777777" w:rsidR="004F7C59" w:rsidRDefault="004F7C59"/>
    <w:sectPr w:rsidR="004F7C59" w:rsidSect="007B756E">
      <w:footerReference w:type="even" r:id="rId7"/>
      <w:footerReference w:type="default" r:id="rId8"/>
      <w:pgSz w:w="11906" w:h="16838"/>
      <w:pgMar w:top="1021" w:right="851" w:bottom="1021" w:left="1701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55E9" w14:textId="77777777" w:rsidR="00261F43" w:rsidRDefault="00261F43">
      <w:pPr>
        <w:spacing w:after="0" w:line="240" w:lineRule="auto"/>
      </w:pPr>
      <w:r>
        <w:separator/>
      </w:r>
    </w:p>
  </w:endnote>
  <w:endnote w:type="continuationSeparator" w:id="0">
    <w:p w14:paraId="2256153A" w14:textId="77777777" w:rsidR="00261F43" w:rsidRDefault="0026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8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4198" w14:textId="77777777" w:rsidR="007B756E" w:rsidRDefault="007B756E" w:rsidP="00D03115">
    <w:pPr>
      <w:pStyle w:val="Kj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</w:rPr>
      <w:fldChar w:fldCharType="end"/>
    </w:r>
  </w:p>
  <w:p w14:paraId="03E00DCF" w14:textId="77777777" w:rsidR="007B756E" w:rsidRDefault="007B756E" w:rsidP="00D03115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F811" w14:textId="77777777" w:rsidR="007B756E" w:rsidRDefault="007B756E" w:rsidP="00D03115">
    <w:pPr>
      <w:pStyle w:val="Kjene"/>
      <w:framePr w:wrap="around" w:vAnchor="text" w:hAnchor="margin" w:xAlign="center" w:y="1"/>
      <w:ind w:right="360"/>
      <w:rPr>
        <w:rStyle w:val="Lappusesnumurs"/>
        <w:rFonts w:eastAsiaTheme="majorEastAsia"/>
      </w:rPr>
    </w:pPr>
  </w:p>
  <w:p w14:paraId="286D6750" w14:textId="77777777" w:rsidR="007B756E" w:rsidRDefault="007B75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FB06" w14:textId="77777777" w:rsidR="00261F43" w:rsidRDefault="00261F43">
      <w:pPr>
        <w:spacing w:after="0" w:line="240" w:lineRule="auto"/>
      </w:pPr>
      <w:r>
        <w:separator/>
      </w:r>
    </w:p>
  </w:footnote>
  <w:footnote w:type="continuationSeparator" w:id="0">
    <w:p w14:paraId="2FBD72EB" w14:textId="77777777" w:rsidR="00261F43" w:rsidRDefault="00261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D3243"/>
    <w:multiLevelType w:val="multilevel"/>
    <w:tmpl w:val="3D3A3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21538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6E"/>
    <w:rsid w:val="00121E41"/>
    <w:rsid w:val="001322F1"/>
    <w:rsid w:val="00143B28"/>
    <w:rsid w:val="00261F43"/>
    <w:rsid w:val="004F7C59"/>
    <w:rsid w:val="005601C3"/>
    <w:rsid w:val="00581C6F"/>
    <w:rsid w:val="0076796F"/>
    <w:rsid w:val="007B756E"/>
    <w:rsid w:val="008161FB"/>
    <w:rsid w:val="008B7416"/>
    <w:rsid w:val="00AC730F"/>
    <w:rsid w:val="00B16FD6"/>
    <w:rsid w:val="00E36E49"/>
    <w:rsid w:val="00E4136D"/>
    <w:rsid w:val="00E9648A"/>
    <w:rsid w:val="00F3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5DCA"/>
  <w15:chartTrackingRefBased/>
  <w15:docId w15:val="{F982C62E-3C21-4892-968C-B6329782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B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B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B7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B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B7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B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B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B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B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B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B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B7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B75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B75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B75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B75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B75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B75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B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B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B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B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B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B75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B75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B75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B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B75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B756E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7B75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7B756E"/>
  </w:style>
  <w:style w:type="character" w:styleId="Lappusesnumurs">
    <w:name w:val="page number"/>
    <w:basedOn w:val="Noklusjumarindkopasfonts"/>
    <w:rsid w:val="007B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Volkovs</dc:creator>
  <cp:keywords/>
  <dc:description/>
  <cp:lastModifiedBy>Zane Ozola-Ozoliņa</cp:lastModifiedBy>
  <cp:revision>6</cp:revision>
  <dcterms:created xsi:type="dcterms:W3CDTF">2026-01-23T12:09:00Z</dcterms:created>
  <dcterms:modified xsi:type="dcterms:W3CDTF">2026-02-09T08:42:00Z</dcterms:modified>
</cp:coreProperties>
</file>