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A57F1D">
        <w:tc>
          <w:tcPr>
            <w:tcW w:w="9354" w:type="dxa"/>
          </w:tcPr>
          <w:p w14:paraId="7D6E35DA" w14:textId="77777777" w:rsidR="00B97398" w:rsidRDefault="00B97398" w:rsidP="00B97398">
            <w:pPr>
              <w:jc w:val="center"/>
            </w:pPr>
            <w:bookmarkStart w:id="0" w:name="_Hlk111184042"/>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A57F1D">
        <w:tc>
          <w:tcPr>
            <w:tcW w:w="9354"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A57F1D">
        <w:tc>
          <w:tcPr>
            <w:tcW w:w="9354"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A57F1D">
        <w:tc>
          <w:tcPr>
            <w:tcW w:w="9354"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A57F1D">
        <w:tc>
          <w:tcPr>
            <w:tcW w:w="9354"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5F04CAB" w14:textId="77777777" w:rsidR="00A57F1D" w:rsidRPr="00C00E5F" w:rsidRDefault="00A57F1D" w:rsidP="00A57F1D">
      <w:pPr>
        <w:pStyle w:val="Bezatstarpm"/>
        <w:jc w:val="center"/>
        <w:rPr>
          <w:rFonts w:ascii="Times New Roman" w:hAnsi="Times New Roman"/>
          <w:b/>
          <w:bCs/>
          <w:sz w:val="24"/>
          <w:szCs w:val="24"/>
        </w:rPr>
      </w:pPr>
      <w:r w:rsidRPr="00C00E5F">
        <w:rPr>
          <w:rFonts w:ascii="Times New Roman" w:hAnsi="Times New Roman"/>
          <w:b/>
          <w:bCs/>
          <w:sz w:val="24"/>
          <w:szCs w:val="24"/>
        </w:rPr>
        <w:t>GULBENES NOVADA PAŠVALDĪBAS DOMES LĒMUMS</w:t>
      </w:r>
    </w:p>
    <w:p w14:paraId="5131960E" w14:textId="77777777" w:rsidR="00B97398" w:rsidRPr="00C00E5F" w:rsidRDefault="00B97398" w:rsidP="00B97398">
      <w:pPr>
        <w:pStyle w:val="Bezatstarpm"/>
        <w:jc w:val="center"/>
        <w:rPr>
          <w:rFonts w:ascii="Times New Roman" w:hAnsi="Times New Roman" w:cs="Times New Roman"/>
          <w:sz w:val="24"/>
          <w:szCs w:val="24"/>
        </w:rPr>
      </w:pPr>
      <w:r w:rsidRPr="00C00E5F">
        <w:rPr>
          <w:rFonts w:ascii="Times New Roman" w:hAnsi="Times New Roman" w:cs="Times New Roman"/>
          <w:sz w:val="24"/>
          <w:szCs w:val="24"/>
        </w:rPr>
        <w:t>Gulbenē</w:t>
      </w:r>
    </w:p>
    <w:p w14:paraId="7656872D" w14:textId="77777777" w:rsidR="00B97398" w:rsidRPr="00C00E5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00E5F" w:rsidRPr="00C00E5F" w14:paraId="30F98466" w14:textId="77777777" w:rsidTr="00380695">
        <w:tc>
          <w:tcPr>
            <w:tcW w:w="4729" w:type="dxa"/>
          </w:tcPr>
          <w:p w14:paraId="708CBF5B" w14:textId="454C203C" w:rsidR="00B97398" w:rsidRPr="00C00E5F" w:rsidRDefault="00B97398" w:rsidP="00B97398">
            <w:pPr>
              <w:rPr>
                <w:rFonts w:ascii="Times New Roman" w:hAnsi="Times New Roman" w:cs="Times New Roman"/>
                <w:b/>
                <w:bCs/>
                <w:sz w:val="24"/>
                <w:szCs w:val="24"/>
              </w:rPr>
            </w:pPr>
            <w:bookmarkStart w:id="1" w:name="_Hlk199493875"/>
            <w:r w:rsidRPr="00C00E5F">
              <w:rPr>
                <w:rFonts w:ascii="Times New Roman" w:hAnsi="Times New Roman" w:cs="Times New Roman"/>
                <w:b/>
                <w:bCs/>
                <w:sz w:val="24"/>
                <w:szCs w:val="24"/>
              </w:rPr>
              <w:t>202</w:t>
            </w:r>
            <w:r w:rsidR="00DE34C5" w:rsidRPr="00C00E5F">
              <w:rPr>
                <w:rFonts w:ascii="Times New Roman" w:hAnsi="Times New Roman" w:cs="Times New Roman"/>
                <w:b/>
                <w:bCs/>
                <w:sz w:val="24"/>
                <w:szCs w:val="24"/>
              </w:rPr>
              <w:t>6</w:t>
            </w:r>
            <w:r w:rsidRPr="00C00E5F">
              <w:rPr>
                <w:rFonts w:ascii="Times New Roman" w:hAnsi="Times New Roman" w:cs="Times New Roman"/>
                <w:b/>
                <w:bCs/>
                <w:sz w:val="24"/>
                <w:szCs w:val="24"/>
              </w:rPr>
              <w:t>.gada</w:t>
            </w:r>
            <w:r w:rsidR="00A12202" w:rsidRPr="00C00E5F">
              <w:rPr>
                <w:rFonts w:ascii="Times New Roman" w:hAnsi="Times New Roman" w:cs="Times New Roman"/>
                <w:b/>
                <w:bCs/>
                <w:sz w:val="24"/>
                <w:szCs w:val="24"/>
              </w:rPr>
              <w:t xml:space="preserve"> </w:t>
            </w:r>
            <w:r w:rsidR="00481DC2">
              <w:rPr>
                <w:rFonts w:ascii="Times New Roman" w:hAnsi="Times New Roman" w:cs="Times New Roman"/>
                <w:b/>
                <w:bCs/>
                <w:sz w:val="24"/>
                <w:szCs w:val="24"/>
              </w:rPr>
              <w:t>26</w:t>
            </w:r>
            <w:r w:rsidR="00356275" w:rsidRPr="00C00E5F">
              <w:rPr>
                <w:rFonts w:ascii="Times New Roman" w:hAnsi="Times New Roman" w:cs="Times New Roman"/>
                <w:b/>
                <w:bCs/>
                <w:sz w:val="24"/>
                <w:szCs w:val="24"/>
              </w:rPr>
              <w:t xml:space="preserve">. </w:t>
            </w:r>
            <w:r w:rsidR="00891F2B" w:rsidRPr="00C00E5F">
              <w:rPr>
                <w:rFonts w:ascii="Times New Roman" w:hAnsi="Times New Roman" w:cs="Times New Roman"/>
                <w:b/>
                <w:bCs/>
                <w:sz w:val="24"/>
                <w:szCs w:val="24"/>
              </w:rPr>
              <w:t>m</w:t>
            </w:r>
            <w:r w:rsidR="00DE34C5" w:rsidRPr="00C00E5F">
              <w:rPr>
                <w:rFonts w:ascii="Times New Roman" w:hAnsi="Times New Roman" w:cs="Times New Roman"/>
                <w:b/>
                <w:bCs/>
                <w:sz w:val="24"/>
                <w:szCs w:val="24"/>
              </w:rPr>
              <w:t>artā</w:t>
            </w:r>
          </w:p>
        </w:tc>
        <w:tc>
          <w:tcPr>
            <w:tcW w:w="4729" w:type="dxa"/>
          </w:tcPr>
          <w:p w14:paraId="6296098E" w14:textId="3D0DB032" w:rsidR="00B97398" w:rsidRPr="00C00E5F" w:rsidRDefault="00597A4C" w:rsidP="00B97398">
            <w:pPr>
              <w:rPr>
                <w:rFonts w:ascii="Times New Roman" w:hAnsi="Times New Roman" w:cs="Times New Roman"/>
                <w:b/>
                <w:bCs/>
                <w:sz w:val="24"/>
                <w:szCs w:val="24"/>
              </w:rPr>
            </w:pPr>
            <w:r w:rsidRPr="00C00E5F">
              <w:rPr>
                <w:rFonts w:ascii="Times New Roman" w:hAnsi="Times New Roman" w:cs="Times New Roman"/>
                <w:b/>
                <w:bCs/>
                <w:sz w:val="24"/>
                <w:szCs w:val="24"/>
              </w:rPr>
              <w:t xml:space="preserve">                         </w:t>
            </w:r>
            <w:r w:rsidR="00B97398" w:rsidRPr="00C00E5F">
              <w:rPr>
                <w:rFonts w:ascii="Times New Roman" w:hAnsi="Times New Roman" w:cs="Times New Roman"/>
                <w:b/>
                <w:bCs/>
                <w:sz w:val="24"/>
                <w:szCs w:val="24"/>
              </w:rPr>
              <w:t>Nr.</w:t>
            </w:r>
            <w:r w:rsidR="00B10B54" w:rsidRPr="00C00E5F">
              <w:rPr>
                <w:rFonts w:ascii="Times New Roman" w:hAnsi="Times New Roman" w:cs="Times New Roman"/>
                <w:b/>
                <w:bCs/>
                <w:sz w:val="24"/>
                <w:szCs w:val="24"/>
              </w:rPr>
              <w:t xml:space="preserve"> </w:t>
            </w:r>
            <w:r w:rsidR="00B97398" w:rsidRPr="00C00E5F">
              <w:rPr>
                <w:rFonts w:ascii="Times New Roman" w:hAnsi="Times New Roman" w:cs="Times New Roman"/>
                <w:b/>
                <w:bCs/>
                <w:sz w:val="24"/>
                <w:szCs w:val="24"/>
              </w:rPr>
              <w:t>GND/202</w:t>
            </w:r>
            <w:r w:rsidR="00DE34C5" w:rsidRPr="00C00E5F">
              <w:rPr>
                <w:rFonts w:ascii="Times New Roman" w:hAnsi="Times New Roman" w:cs="Times New Roman"/>
                <w:b/>
                <w:bCs/>
                <w:sz w:val="24"/>
                <w:szCs w:val="24"/>
              </w:rPr>
              <w:t>6</w:t>
            </w:r>
            <w:r w:rsidR="00B97398" w:rsidRPr="00C00E5F">
              <w:rPr>
                <w:rFonts w:ascii="Times New Roman" w:hAnsi="Times New Roman" w:cs="Times New Roman"/>
                <w:b/>
                <w:bCs/>
                <w:sz w:val="24"/>
                <w:szCs w:val="24"/>
              </w:rPr>
              <w:t>/</w:t>
            </w:r>
            <w:r w:rsidR="00481DC2">
              <w:rPr>
                <w:rFonts w:ascii="Times New Roman" w:hAnsi="Times New Roman" w:cs="Times New Roman"/>
                <w:b/>
                <w:bCs/>
                <w:sz w:val="24"/>
                <w:szCs w:val="24"/>
              </w:rPr>
              <w:t>171</w:t>
            </w:r>
          </w:p>
        </w:tc>
      </w:tr>
      <w:tr w:rsidR="00891F2B" w:rsidRPr="00C00E5F" w14:paraId="5225B4E9" w14:textId="77777777" w:rsidTr="00380695">
        <w:tc>
          <w:tcPr>
            <w:tcW w:w="4729" w:type="dxa"/>
          </w:tcPr>
          <w:p w14:paraId="6F590189" w14:textId="77777777" w:rsidR="00B97398" w:rsidRPr="00C00E5F" w:rsidRDefault="00B97398" w:rsidP="00B97398">
            <w:pPr>
              <w:rPr>
                <w:rFonts w:ascii="Times New Roman" w:hAnsi="Times New Roman" w:cs="Times New Roman"/>
                <w:sz w:val="24"/>
                <w:szCs w:val="24"/>
              </w:rPr>
            </w:pPr>
          </w:p>
        </w:tc>
        <w:tc>
          <w:tcPr>
            <w:tcW w:w="4729" w:type="dxa"/>
          </w:tcPr>
          <w:p w14:paraId="449CE5B9" w14:textId="1C738E5E" w:rsidR="00B97398" w:rsidRPr="00C00E5F" w:rsidRDefault="00597A4C" w:rsidP="00B97398">
            <w:pPr>
              <w:rPr>
                <w:rFonts w:ascii="Times New Roman" w:hAnsi="Times New Roman" w:cs="Times New Roman"/>
                <w:b/>
                <w:bCs/>
                <w:sz w:val="24"/>
                <w:szCs w:val="24"/>
              </w:rPr>
            </w:pPr>
            <w:r w:rsidRPr="00C00E5F">
              <w:rPr>
                <w:rFonts w:ascii="Times New Roman" w:hAnsi="Times New Roman" w:cs="Times New Roman"/>
                <w:b/>
                <w:bCs/>
                <w:sz w:val="24"/>
                <w:szCs w:val="24"/>
              </w:rPr>
              <w:t xml:space="preserve">                        </w:t>
            </w:r>
            <w:r w:rsidR="00B97398" w:rsidRPr="00C00E5F">
              <w:rPr>
                <w:rFonts w:ascii="Times New Roman" w:hAnsi="Times New Roman" w:cs="Times New Roman"/>
                <w:b/>
                <w:bCs/>
                <w:sz w:val="24"/>
                <w:szCs w:val="24"/>
              </w:rPr>
              <w:t>(protokols Nr.</w:t>
            </w:r>
            <w:r w:rsidR="00481DC2">
              <w:rPr>
                <w:rFonts w:ascii="Times New Roman" w:hAnsi="Times New Roman" w:cs="Times New Roman"/>
                <w:b/>
                <w:bCs/>
                <w:sz w:val="24"/>
                <w:szCs w:val="24"/>
              </w:rPr>
              <w:t>5</w:t>
            </w:r>
            <w:r w:rsidR="00B97398" w:rsidRPr="00C00E5F">
              <w:rPr>
                <w:rFonts w:ascii="Times New Roman" w:hAnsi="Times New Roman" w:cs="Times New Roman"/>
                <w:b/>
                <w:bCs/>
                <w:sz w:val="24"/>
                <w:szCs w:val="24"/>
              </w:rPr>
              <w:t xml:space="preserve">; </w:t>
            </w:r>
            <w:r w:rsidR="00E9707D" w:rsidRPr="00C00E5F">
              <w:rPr>
                <w:rFonts w:ascii="Times New Roman" w:hAnsi="Times New Roman" w:cs="Times New Roman"/>
                <w:b/>
                <w:bCs/>
                <w:sz w:val="24"/>
                <w:szCs w:val="24"/>
              </w:rPr>
              <w:t xml:space="preserve"> </w:t>
            </w:r>
            <w:r w:rsidR="00481DC2">
              <w:rPr>
                <w:rFonts w:ascii="Times New Roman" w:hAnsi="Times New Roman" w:cs="Times New Roman"/>
                <w:b/>
                <w:bCs/>
                <w:sz w:val="24"/>
                <w:szCs w:val="24"/>
              </w:rPr>
              <w:t>2</w:t>
            </w:r>
            <w:r w:rsidR="00B97398" w:rsidRPr="00C00E5F">
              <w:rPr>
                <w:rFonts w:ascii="Times New Roman" w:hAnsi="Times New Roman" w:cs="Times New Roman"/>
                <w:b/>
                <w:bCs/>
                <w:sz w:val="24"/>
                <w:szCs w:val="24"/>
              </w:rPr>
              <w:t>.p)</w:t>
            </w:r>
          </w:p>
        </w:tc>
      </w:tr>
    </w:tbl>
    <w:p w14:paraId="7E70880F" w14:textId="77777777" w:rsidR="0032141B" w:rsidRPr="00C00E5F" w:rsidRDefault="0032141B" w:rsidP="00B26D6D">
      <w:pPr>
        <w:spacing w:after="0" w:line="360" w:lineRule="auto"/>
        <w:ind w:right="-96" w:firstLine="567"/>
        <w:jc w:val="both"/>
        <w:rPr>
          <w:rFonts w:ascii="Times New Roman" w:eastAsia="Calibri" w:hAnsi="Times New Roman" w:cs="Times New Roman"/>
          <w:b/>
          <w:sz w:val="24"/>
          <w:szCs w:val="24"/>
        </w:rPr>
      </w:pPr>
    </w:p>
    <w:p w14:paraId="5302410B" w14:textId="2701EAE7" w:rsidR="009B1CFA" w:rsidRPr="00C00E5F" w:rsidRDefault="00DE34C5" w:rsidP="0070577B">
      <w:pPr>
        <w:spacing w:after="0" w:line="240" w:lineRule="auto"/>
        <w:ind w:right="-96"/>
        <w:jc w:val="center"/>
        <w:rPr>
          <w:rFonts w:ascii="Times New Roman" w:eastAsia="Calibri" w:hAnsi="Times New Roman" w:cs="Times New Roman"/>
          <w:b/>
          <w:sz w:val="24"/>
          <w:szCs w:val="24"/>
        </w:rPr>
      </w:pPr>
      <w:r w:rsidRPr="00C00E5F">
        <w:rPr>
          <w:rFonts w:ascii="Times New Roman" w:hAnsi="Times New Roman" w:cs="Times New Roman"/>
          <w:b/>
          <w:bCs/>
          <w:sz w:val="24"/>
          <w:szCs w:val="24"/>
        </w:rPr>
        <w:t>Par grozījum</w:t>
      </w:r>
      <w:r w:rsidR="006611DB" w:rsidRPr="00C00E5F">
        <w:rPr>
          <w:rFonts w:ascii="Times New Roman" w:hAnsi="Times New Roman" w:cs="Times New Roman"/>
          <w:b/>
          <w:bCs/>
          <w:sz w:val="24"/>
          <w:szCs w:val="24"/>
        </w:rPr>
        <w:t>iem</w:t>
      </w:r>
      <w:r w:rsidRPr="00C00E5F">
        <w:rPr>
          <w:rFonts w:ascii="Times New Roman" w:hAnsi="Times New Roman" w:cs="Times New Roman"/>
          <w:b/>
          <w:bCs/>
          <w:sz w:val="24"/>
          <w:szCs w:val="24"/>
        </w:rPr>
        <w:t xml:space="preserve"> Gulbenes novada domes</w:t>
      </w:r>
      <w:r w:rsidRPr="00C00E5F">
        <w:rPr>
          <w:rFonts w:ascii="Times New Roman" w:eastAsia="Calibri" w:hAnsi="Times New Roman" w:cs="Times New Roman"/>
          <w:b/>
          <w:sz w:val="24"/>
          <w:szCs w:val="24"/>
        </w:rPr>
        <w:t xml:space="preserve"> 2025.gada 29.maija lēmumā Nr. GND/2025/396 (protokols Nr.12; 65.p) “</w:t>
      </w:r>
      <w:r w:rsidR="00B71C39" w:rsidRPr="00C00E5F">
        <w:rPr>
          <w:rFonts w:ascii="Times New Roman" w:eastAsia="Calibri" w:hAnsi="Times New Roman" w:cs="Times New Roman"/>
          <w:b/>
          <w:sz w:val="24"/>
          <w:szCs w:val="24"/>
        </w:rPr>
        <w:t xml:space="preserve">Par Gulbenes novada </w:t>
      </w:r>
      <w:r w:rsidR="00653244" w:rsidRPr="00C00E5F">
        <w:rPr>
          <w:rFonts w:ascii="Times New Roman" w:eastAsia="Calibri" w:hAnsi="Times New Roman" w:cs="Times New Roman"/>
          <w:b/>
          <w:sz w:val="24"/>
          <w:szCs w:val="24"/>
        </w:rPr>
        <w:t xml:space="preserve">pašvaldības </w:t>
      </w:r>
      <w:r w:rsidR="00B747BE" w:rsidRPr="00C00E5F">
        <w:rPr>
          <w:rFonts w:ascii="Times New Roman" w:eastAsia="Calibri" w:hAnsi="Times New Roman" w:cs="Times New Roman"/>
          <w:b/>
          <w:sz w:val="24"/>
          <w:szCs w:val="24"/>
        </w:rPr>
        <w:t>sporta infrastruktūras</w:t>
      </w:r>
      <w:r w:rsidR="001A6A12" w:rsidRPr="00C00E5F">
        <w:rPr>
          <w:rFonts w:ascii="Times New Roman" w:eastAsia="Calibri" w:hAnsi="Times New Roman" w:cs="Times New Roman"/>
          <w:b/>
          <w:sz w:val="24"/>
          <w:szCs w:val="24"/>
        </w:rPr>
        <w:t xml:space="preserve"> un inventāra</w:t>
      </w:r>
      <w:r w:rsidR="00B71C39" w:rsidRPr="00C00E5F">
        <w:rPr>
          <w:rFonts w:ascii="Times New Roman" w:eastAsia="Calibri" w:hAnsi="Times New Roman" w:cs="Times New Roman"/>
          <w:b/>
          <w:sz w:val="24"/>
          <w:szCs w:val="24"/>
        </w:rPr>
        <w:t xml:space="preserve"> maksas pakalpojum</w:t>
      </w:r>
      <w:r w:rsidR="00231B24" w:rsidRPr="00C00E5F">
        <w:rPr>
          <w:rFonts w:ascii="Times New Roman" w:eastAsia="Calibri" w:hAnsi="Times New Roman" w:cs="Times New Roman"/>
          <w:b/>
          <w:sz w:val="24"/>
          <w:szCs w:val="24"/>
        </w:rPr>
        <w:t>u cenrāža</w:t>
      </w:r>
      <w:r w:rsidR="00360C39" w:rsidRPr="00C00E5F">
        <w:rPr>
          <w:rFonts w:ascii="Times New Roman" w:eastAsia="Calibri" w:hAnsi="Times New Roman" w:cs="Times New Roman"/>
          <w:b/>
          <w:sz w:val="24"/>
          <w:szCs w:val="24"/>
        </w:rPr>
        <w:t xml:space="preserve"> </w:t>
      </w:r>
      <w:r w:rsidR="00231B24" w:rsidRPr="00C00E5F">
        <w:rPr>
          <w:rFonts w:ascii="Times New Roman" w:eastAsia="Calibri" w:hAnsi="Times New Roman" w:cs="Times New Roman"/>
          <w:b/>
          <w:sz w:val="24"/>
          <w:szCs w:val="24"/>
        </w:rPr>
        <w:t>apstiprināšanu</w:t>
      </w:r>
      <w:r w:rsidRPr="00C00E5F">
        <w:rPr>
          <w:rFonts w:ascii="Times New Roman" w:eastAsia="Calibri" w:hAnsi="Times New Roman" w:cs="Times New Roman"/>
          <w:b/>
          <w:sz w:val="24"/>
          <w:szCs w:val="24"/>
        </w:rPr>
        <w:t>”</w:t>
      </w:r>
    </w:p>
    <w:p w14:paraId="024E1207" w14:textId="77777777" w:rsidR="00DE34C5" w:rsidRPr="00C00E5F" w:rsidRDefault="00DE34C5" w:rsidP="00DE34C5">
      <w:pPr>
        <w:spacing w:after="0" w:line="240" w:lineRule="auto"/>
        <w:ind w:right="-96"/>
        <w:jc w:val="center"/>
        <w:rPr>
          <w:rFonts w:ascii="Times New Roman" w:eastAsia="Calibri" w:hAnsi="Times New Roman" w:cs="Times New Roman"/>
          <w:b/>
          <w:sz w:val="24"/>
          <w:szCs w:val="24"/>
        </w:rPr>
      </w:pPr>
    </w:p>
    <w:p w14:paraId="3D6D6387"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2025.gada 29.maijā Gulbenes novada pašvaldības dome pieņēma lēmumu Nr. GND/2025/396 (protokols Nr.12, 65.p) “Par Gulbenes novada pašvaldības sporta infrastruktūras un inventāra maksas pakalpojumu cenrāža apstiprināšanu”.</w:t>
      </w:r>
    </w:p>
    <w:p w14:paraId="28901553"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 xml:space="preserve">Gulbenes novada pašvaldības sporta infrastruktūras cenrādi nepieciešams papildināt ar jauniem maksas pakalpojumiem, kā Gulbenes sporta centra trenažieru zāles viens apmeklējums personai līdz 2 stundām un 15 apmeklējuma reižu abonements trenažieru zālē (viena apmeklējuma reize līdz divām stundām), turklāt, sākotnējā lēmumā nepieciešams noteikt iedzīvotāju kategorijas, kuras būs atbrīvotas no jaunajiem maksas pakalpojumiem. Gulbenes novada pašvaldības Centrālās pārvaldes Finanšu nodaļa ir veikusi aprēķinu Gulbenes novada pašvaldības sporta infrastruktūras jaunajiem maksas pakalpojumiem, ņemot vērā iepriekšējā saimnieciskajā gadā uzskaitītos naudas plūsmas izdevumus, kā arī 2026.gada plānotos pašvaldības budžeta izdevumus. </w:t>
      </w:r>
    </w:p>
    <w:p w14:paraId="3A8EDE7B"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 xml:space="preserve">Pamatojoties uz Pašvaldību likuma 4. panta pirmās daļas 6.punktu pašvaldības autonomā funkcija ir īstenot veselīga dzīvesveida veicināšanas pasākumus. Savukārt, Pašvaldību likuma 4. panta pirmās daļas 7.punkts nosaka, ka viena no pašvaldības autonomajā funkcijām ir atbalstīt sportistu darbību un sniegt atbalstu sporta pasākumu organizēšanai, kā arī attiecīgā panta pirmās daļas 8.punkts nosaka, ka pašvaldības autonomā funkcija ir veikt darbu ar jaunatni. </w:t>
      </w:r>
    </w:p>
    <w:p w14:paraId="15F9D98C" w14:textId="68B9ED23"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Pamatojoties uz Pašvaldību likuma 10.panta pirmās daļas 21.punktu, kas nosaka, ka domes kompetencē ir pieņemt lēmumus citos ārējos normatīvajos aktos paredzētajos gadījumos, Gulbenes novada domes 2018.gada 29.marta noteikumiem Nr.8 “Gulbenes novada domes, tās iestāžu un struktūrvienību sniegto maksas pakalpojumu izcenojumu aprēķināšanas metodika un apstiprināšanas kārtība” (protokols Nr.4, 46.§)</w:t>
      </w:r>
      <w:r w:rsidRPr="004B3D08">
        <w:rPr>
          <w:rFonts w:ascii="Times New Roman" w:eastAsia="Calibri" w:hAnsi="Times New Roman" w:cs="Times New Roman"/>
          <w:bCs/>
          <w:kern w:val="2"/>
          <w:sz w:val="24"/>
          <w:szCs w:val="24"/>
          <w14:ligatures w14:val="standardContextual"/>
        </w:rPr>
        <w:t xml:space="preserve"> un </w:t>
      </w:r>
      <w:r w:rsidR="007D1B77" w:rsidRPr="00827AA4">
        <w:rPr>
          <w:rFonts w:ascii="Times New Roman" w:hAnsi="Times New Roman" w:cs="Times New Roman"/>
          <w:sz w:val="24"/>
          <w:szCs w:val="24"/>
        </w:rPr>
        <w:t>ņemot vērā Sociālo un veselības un Izglītības, kultūras un sporta komitejas apvienotās sēdes un Attīstības un tautsaimniecības komitejas un Finanšu komitejas apvienotās sēdes  ieteikumus</w:t>
      </w:r>
      <w:r w:rsidRPr="00481DC2">
        <w:rPr>
          <w:rFonts w:ascii="Times New Roman" w:eastAsia="Calibri" w:hAnsi="Times New Roman" w:cs="Times New Roman"/>
          <w:bCs/>
          <w:kern w:val="2"/>
          <w:sz w:val="24"/>
          <w:szCs w:val="24"/>
          <w14:ligatures w14:val="standardContextual"/>
        </w:rPr>
        <w:t xml:space="preserve">, atklāti balsojot: </w:t>
      </w:r>
      <w:r w:rsidR="00481DC2" w:rsidRPr="00481DC2">
        <w:rPr>
          <w:rFonts w:ascii="Times New Roman" w:eastAsia="Calibri" w:hAnsi="Times New Roman" w:cs="Times New Roman"/>
          <w:noProof/>
          <w:sz w:val="24"/>
          <w:szCs w:val="24"/>
        </w:rPr>
        <w:t xml:space="preserve">ar 14 balsīm "Par" (Ainārs Brezinskis, Artūrs Smagars, Dāvis Uiska, Gunārs Babris, Gunārs Ciglis, Guntis Princovs, Intars </w:t>
      </w:r>
      <w:r w:rsidR="00481DC2" w:rsidRPr="00481DC2">
        <w:rPr>
          <w:rFonts w:ascii="Times New Roman" w:eastAsia="Calibri" w:hAnsi="Times New Roman" w:cs="Times New Roman"/>
          <w:noProof/>
          <w:sz w:val="24"/>
          <w:szCs w:val="24"/>
        </w:rPr>
        <w:lastRenderedPageBreak/>
        <w:t>Liepiņš, Ivars Kupčs, Jānis Barinskis, Lāsma Gabdulļina, Liena Silauniece, Normunds Audzišs, Normunds Mazūrs, Valtis Krauklis), "Pret" – nav, "Atturas" – 1 (Andis Caunītis), "Nepiedalās" – nav;</w:t>
      </w:r>
      <w:r w:rsidRPr="00481DC2">
        <w:rPr>
          <w:rFonts w:ascii="Times New Roman" w:eastAsia="Calibri" w:hAnsi="Times New Roman" w:cs="Times New Roman"/>
          <w:kern w:val="2"/>
          <w:sz w:val="24"/>
          <w:szCs w:val="24"/>
          <w14:ligatures w14:val="standardContextual"/>
        </w:rPr>
        <w:t xml:space="preserve"> Gulbenes novada pašvaldības dome NOLEMJ:</w:t>
      </w:r>
    </w:p>
    <w:p w14:paraId="2D1B8090" w14:textId="77777777" w:rsidR="004B3D08" w:rsidRPr="004B3D08" w:rsidRDefault="004B3D08" w:rsidP="004B3D08">
      <w:pPr>
        <w:numPr>
          <w:ilvl w:val="0"/>
          <w:numId w:val="16"/>
        </w:numPr>
        <w:spacing w:after="0" w:line="360" w:lineRule="auto"/>
        <w:ind w:left="0"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IZDARĪT Gulbenes novada pašvaldības domes 2025.gada 29.maija sēdes lēmumā Nr. GND/2025/396 (protokols Nr.12, 65.p) “Par Gulbenes novada pašvaldības sporta infrastruktūras un inventāra maksas pakalpojumu cenrāža apstiprināšanu” šādus grozījumus:</w:t>
      </w:r>
    </w:p>
    <w:p w14:paraId="131FF0B4" w14:textId="77777777" w:rsidR="004B3D08" w:rsidRPr="004B3D08" w:rsidRDefault="004B3D08" w:rsidP="004B3D08">
      <w:pPr>
        <w:numPr>
          <w:ilvl w:val="1"/>
          <w:numId w:val="17"/>
        </w:numPr>
        <w:spacing w:after="0" w:line="360" w:lineRule="auto"/>
        <w:ind w:left="0"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Papildināt pielikuma “Gulbenes novada pašvaldības sporta infrastruktūras un inventāra maksas pakalpojumu cenrādis” 2.punktu ar 2.5. un 2.6. apakšpunktu šādā redakcijā:</w:t>
      </w:r>
    </w:p>
    <w:tbl>
      <w:tblPr>
        <w:tblW w:w="9209" w:type="dxa"/>
        <w:tblLook w:val="04A0" w:firstRow="1" w:lastRow="0" w:firstColumn="1" w:lastColumn="0" w:noHBand="0" w:noVBand="1"/>
      </w:tblPr>
      <w:tblGrid>
        <w:gridCol w:w="810"/>
        <w:gridCol w:w="3391"/>
        <w:gridCol w:w="1323"/>
        <w:gridCol w:w="1275"/>
        <w:gridCol w:w="1134"/>
        <w:gridCol w:w="1276"/>
      </w:tblGrid>
      <w:tr w:rsidR="004B3D08" w:rsidRPr="004B3D08" w14:paraId="10A1B6FE" w14:textId="77777777" w:rsidTr="00B80CE3">
        <w:trPr>
          <w:trHeight w:val="624"/>
        </w:trPr>
        <w:tc>
          <w:tcPr>
            <w:tcW w:w="810" w:type="dxa"/>
            <w:tcBorders>
              <w:top w:val="single" w:sz="4" w:space="0" w:color="auto"/>
              <w:left w:val="single" w:sz="4" w:space="0" w:color="auto"/>
              <w:bottom w:val="single" w:sz="4" w:space="0" w:color="auto"/>
              <w:right w:val="single" w:sz="4" w:space="0" w:color="auto"/>
            </w:tcBorders>
            <w:vAlign w:val="center"/>
            <w:hideMark/>
          </w:tcPr>
          <w:p w14:paraId="4B61DB71"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proofErr w:type="spellStart"/>
            <w:r w:rsidRPr="004B3D08">
              <w:rPr>
                <w:rFonts w:ascii="Times New Roman" w:eastAsia="Calibri" w:hAnsi="Times New Roman" w:cs="Times New Roman"/>
                <w:kern w:val="2"/>
                <w:sz w:val="24"/>
                <w:szCs w:val="24"/>
                <w14:ligatures w14:val="standardContextual"/>
              </w:rPr>
              <w:t>N.p.k</w:t>
            </w:r>
            <w:proofErr w:type="spellEnd"/>
            <w:r w:rsidRPr="004B3D08">
              <w:rPr>
                <w:rFonts w:ascii="Times New Roman" w:eastAsia="Calibri" w:hAnsi="Times New Roman" w:cs="Times New Roman"/>
                <w:kern w:val="2"/>
                <w:sz w:val="24"/>
                <w:szCs w:val="24"/>
                <w14:ligatures w14:val="standardContextual"/>
              </w:rPr>
              <w:t>.</w:t>
            </w:r>
          </w:p>
        </w:tc>
        <w:tc>
          <w:tcPr>
            <w:tcW w:w="3391" w:type="dxa"/>
            <w:tcBorders>
              <w:top w:val="single" w:sz="4" w:space="0" w:color="auto"/>
              <w:left w:val="nil"/>
              <w:bottom w:val="single" w:sz="4" w:space="0" w:color="auto"/>
              <w:right w:val="single" w:sz="4" w:space="0" w:color="auto"/>
            </w:tcBorders>
            <w:vAlign w:val="center"/>
            <w:hideMark/>
          </w:tcPr>
          <w:p w14:paraId="042C64C8"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Pakalpojuma veids</w:t>
            </w:r>
          </w:p>
        </w:tc>
        <w:tc>
          <w:tcPr>
            <w:tcW w:w="1323" w:type="dxa"/>
            <w:tcBorders>
              <w:top w:val="single" w:sz="4" w:space="0" w:color="auto"/>
              <w:left w:val="nil"/>
              <w:bottom w:val="single" w:sz="4" w:space="0" w:color="auto"/>
              <w:right w:val="single" w:sz="4" w:space="0" w:color="auto"/>
            </w:tcBorders>
            <w:vAlign w:val="center"/>
            <w:hideMark/>
          </w:tcPr>
          <w:p w14:paraId="36230142"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Mērvienība</w:t>
            </w:r>
          </w:p>
        </w:tc>
        <w:tc>
          <w:tcPr>
            <w:tcW w:w="1275" w:type="dxa"/>
            <w:tcBorders>
              <w:top w:val="single" w:sz="4" w:space="0" w:color="auto"/>
              <w:left w:val="nil"/>
              <w:bottom w:val="single" w:sz="4" w:space="0" w:color="auto"/>
              <w:right w:val="single" w:sz="4" w:space="0" w:color="auto"/>
            </w:tcBorders>
            <w:vAlign w:val="center"/>
            <w:hideMark/>
          </w:tcPr>
          <w:p w14:paraId="77F40815"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Cena bez PVN (EUR)</w:t>
            </w:r>
          </w:p>
        </w:tc>
        <w:tc>
          <w:tcPr>
            <w:tcW w:w="1134" w:type="dxa"/>
            <w:tcBorders>
              <w:top w:val="single" w:sz="4" w:space="0" w:color="auto"/>
              <w:left w:val="nil"/>
              <w:bottom w:val="single" w:sz="4" w:space="0" w:color="auto"/>
              <w:right w:val="single" w:sz="4" w:space="0" w:color="auto"/>
            </w:tcBorders>
            <w:vAlign w:val="center"/>
            <w:hideMark/>
          </w:tcPr>
          <w:p w14:paraId="67E6F5ED"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PVN (EUR)</w:t>
            </w:r>
          </w:p>
        </w:tc>
        <w:tc>
          <w:tcPr>
            <w:tcW w:w="1276" w:type="dxa"/>
            <w:tcBorders>
              <w:top w:val="single" w:sz="4" w:space="0" w:color="auto"/>
              <w:left w:val="nil"/>
              <w:bottom w:val="single" w:sz="4" w:space="0" w:color="auto"/>
              <w:right w:val="single" w:sz="4" w:space="0" w:color="auto"/>
            </w:tcBorders>
            <w:vAlign w:val="center"/>
            <w:hideMark/>
          </w:tcPr>
          <w:p w14:paraId="22757F4F"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Cena ar PVN (EUR)</w:t>
            </w:r>
          </w:p>
        </w:tc>
      </w:tr>
      <w:tr w:rsidR="004B3D08" w:rsidRPr="004B3D08" w14:paraId="51E2FE2C" w14:textId="77777777" w:rsidTr="00B80CE3">
        <w:trPr>
          <w:trHeight w:val="624"/>
        </w:trPr>
        <w:tc>
          <w:tcPr>
            <w:tcW w:w="810" w:type="dxa"/>
            <w:tcBorders>
              <w:top w:val="nil"/>
              <w:left w:val="single" w:sz="4" w:space="0" w:color="auto"/>
              <w:bottom w:val="single" w:sz="4" w:space="0" w:color="auto"/>
              <w:right w:val="single" w:sz="4" w:space="0" w:color="auto"/>
            </w:tcBorders>
            <w:noWrap/>
            <w:vAlign w:val="center"/>
            <w:hideMark/>
          </w:tcPr>
          <w:p w14:paraId="26F5F814"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“2.5.</w:t>
            </w:r>
          </w:p>
        </w:tc>
        <w:tc>
          <w:tcPr>
            <w:tcW w:w="3391" w:type="dxa"/>
            <w:tcBorders>
              <w:top w:val="nil"/>
              <w:left w:val="nil"/>
              <w:bottom w:val="single" w:sz="4" w:space="0" w:color="auto"/>
              <w:right w:val="single" w:sz="4" w:space="0" w:color="auto"/>
            </w:tcBorders>
            <w:vAlign w:val="center"/>
            <w:hideMark/>
          </w:tcPr>
          <w:p w14:paraId="453AEDE2"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Trenažieru zāles apmeklējums (vienai personai līdz 2 stundām)</w:t>
            </w:r>
          </w:p>
        </w:tc>
        <w:tc>
          <w:tcPr>
            <w:tcW w:w="1323" w:type="dxa"/>
            <w:tcBorders>
              <w:top w:val="nil"/>
              <w:left w:val="nil"/>
              <w:bottom w:val="single" w:sz="4" w:space="0" w:color="auto"/>
              <w:right w:val="single" w:sz="4" w:space="0" w:color="auto"/>
            </w:tcBorders>
            <w:noWrap/>
            <w:vAlign w:val="center"/>
            <w:hideMark/>
          </w:tcPr>
          <w:p w14:paraId="00C4D00C"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1 reize</w:t>
            </w:r>
          </w:p>
        </w:tc>
        <w:tc>
          <w:tcPr>
            <w:tcW w:w="1275" w:type="dxa"/>
            <w:tcBorders>
              <w:top w:val="nil"/>
              <w:left w:val="nil"/>
              <w:bottom w:val="single" w:sz="4" w:space="0" w:color="auto"/>
              <w:right w:val="single" w:sz="4" w:space="0" w:color="auto"/>
            </w:tcBorders>
            <w:noWrap/>
            <w:vAlign w:val="center"/>
            <w:hideMark/>
          </w:tcPr>
          <w:p w14:paraId="196E00C7"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2,48</w:t>
            </w:r>
          </w:p>
        </w:tc>
        <w:tc>
          <w:tcPr>
            <w:tcW w:w="1134" w:type="dxa"/>
            <w:tcBorders>
              <w:top w:val="nil"/>
              <w:left w:val="nil"/>
              <w:bottom w:val="single" w:sz="4" w:space="0" w:color="auto"/>
              <w:right w:val="single" w:sz="4" w:space="0" w:color="auto"/>
            </w:tcBorders>
            <w:noWrap/>
            <w:vAlign w:val="center"/>
            <w:hideMark/>
          </w:tcPr>
          <w:p w14:paraId="2C209069"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0,52</w:t>
            </w:r>
          </w:p>
        </w:tc>
        <w:tc>
          <w:tcPr>
            <w:tcW w:w="1276" w:type="dxa"/>
            <w:tcBorders>
              <w:top w:val="nil"/>
              <w:left w:val="nil"/>
              <w:bottom w:val="single" w:sz="4" w:space="0" w:color="auto"/>
              <w:right w:val="single" w:sz="4" w:space="0" w:color="auto"/>
            </w:tcBorders>
            <w:noWrap/>
            <w:vAlign w:val="center"/>
            <w:hideMark/>
          </w:tcPr>
          <w:p w14:paraId="7850E15F"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3,00</w:t>
            </w:r>
          </w:p>
        </w:tc>
      </w:tr>
      <w:tr w:rsidR="004B3D08" w:rsidRPr="004B3D08" w14:paraId="31E1F393" w14:textId="77777777" w:rsidTr="00B80CE3">
        <w:trPr>
          <w:trHeight w:val="624"/>
        </w:trPr>
        <w:tc>
          <w:tcPr>
            <w:tcW w:w="810" w:type="dxa"/>
            <w:tcBorders>
              <w:top w:val="nil"/>
              <w:left w:val="single" w:sz="4" w:space="0" w:color="auto"/>
              <w:bottom w:val="single" w:sz="4" w:space="0" w:color="auto"/>
              <w:right w:val="single" w:sz="4" w:space="0" w:color="auto"/>
            </w:tcBorders>
            <w:noWrap/>
            <w:vAlign w:val="center"/>
            <w:hideMark/>
          </w:tcPr>
          <w:p w14:paraId="0C3DBB93"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2.6.</w:t>
            </w:r>
          </w:p>
        </w:tc>
        <w:tc>
          <w:tcPr>
            <w:tcW w:w="3391" w:type="dxa"/>
            <w:tcBorders>
              <w:top w:val="nil"/>
              <w:left w:val="nil"/>
              <w:bottom w:val="single" w:sz="4" w:space="0" w:color="auto"/>
              <w:right w:val="single" w:sz="4" w:space="0" w:color="auto"/>
            </w:tcBorders>
            <w:vAlign w:val="center"/>
            <w:hideMark/>
          </w:tcPr>
          <w:p w14:paraId="3751A4DC"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Trenažieru zāles abonements (vienai personai viens apmeklējums līdz 2 stundām)</w:t>
            </w:r>
          </w:p>
        </w:tc>
        <w:tc>
          <w:tcPr>
            <w:tcW w:w="1323" w:type="dxa"/>
            <w:tcBorders>
              <w:top w:val="nil"/>
              <w:left w:val="nil"/>
              <w:bottom w:val="single" w:sz="4" w:space="0" w:color="auto"/>
              <w:right w:val="single" w:sz="4" w:space="0" w:color="auto"/>
            </w:tcBorders>
            <w:noWrap/>
            <w:vAlign w:val="center"/>
            <w:hideMark/>
          </w:tcPr>
          <w:p w14:paraId="522E5713"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15 reizes</w:t>
            </w:r>
          </w:p>
        </w:tc>
        <w:tc>
          <w:tcPr>
            <w:tcW w:w="1275" w:type="dxa"/>
            <w:tcBorders>
              <w:top w:val="nil"/>
              <w:left w:val="nil"/>
              <w:bottom w:val="single" w:sz="4" w:space="0" w:color="auto"/>
              <w:right w:val="single" w:sz="4" w:space="0" w:color="auto"/>
            </w:tcBorders>
            <w:noWrap/>
            <w:vAlign w:val="center"/>
            <w:hideMark/>
          </w:tcPr>
          <w:p w14:paraId="56CF54DC"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20,66</w:t>
            </w:r>
          </w:p>
        </w:tc>
        <w:tc>
          <w:tcPr>
            <w:tcW w:w="1134" w:type="dxa"/>
            <w:tcBorders>
              <w:top w:val="nil"/>
              <w:left w:val="nil"/>
              <w:bottom w:val="single" w:sz="4" w:space="0" w:color="auto"/>
              <w:right w:val="single" w:sz="4" w:space="0" w:color="auto"/>
            </w:tcBorders>
            <w:noWrap/>
            <w:vAlign w:val="center"/>
            <w:hideMark/>
          </w:tcPr>
          <w:p w14:paraId="6AF75768"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4,34</w:t>
            </w:r>
          </w:p>
        </w:tc>
        <w:tc>
          <w:tcPr>
            <w:tcW w:w="1276" w:type="dxa"/>
            <w:tcBorders>
              <w:top w:val="nil"/>
              <w:left w:val="nil"/>
              <w:bottom w:val="single" w:sz="4" w:space="0" w:color="auto"/>
              <w:right w:val="single" w:sz="4" w:space="0" w:color="auto"/>
            </w:tcBorders>
            <w:noWrap/>
            <w:vAlign w:val="center"/>
            <w:hideMark/>
          </w:tcPr>
          <w:p w14:paraId="2DE128AB" w14:textId="77777777" w:rsidR="004B3D08" w:rsidRPr="004B3D08" w:rsidRDefault="004B3D08" w:rsidP="004B3D08">
            <w:pPr>
              <w:spacing w:after="0" w:line="360" w:lineRule="auto"/>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25,00”</w:t>
            </w:r>
          </w:p>
        </w:tc>
      </w:tr>
    </w:tbl>
    <w:p w14:paraId="444A24DF"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p>
    <w:p w14:paraId="6B754A03" w14:textId="77777777" w:rsidR="004B3D08" w:rsidRPr="004B3D08" w:rsidRDefault="004B3D08" w:rsidP="004B3D08">
      <w:pPr>
        <w:numPr>
          <w:ilvl w:val="1"/>
          <w:numId w:val="17"/>
        </w:numPr>
        <w:spacing w:after="0" w:line="360" w:lineRule="auto"/>
        <w:ind w:left="0"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Izteikt lēmuma 5.punktu šādā redakcijā:</w:t>
      </w:r>
    </w:p>
    <w:p w14:paraId="0DA54E7A"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“5. ATBRĪVOT no cenrāža 2.5., 2.6. apakšpunktā un 11.punktā noteiktās maksas:</w:t>
      </w:r>
    </w:p>
    <w:p w14:paraId="19C05BB0"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5.1. Gulbenes bērnu un jaunatnes sporta skolas audzēkņus sporta nodarbību laikā;</w:t>
      </w:r>
    </w:p>
    <w:p w14:paraId="038A3FB7"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5.2. Gulbenes novada izglītības iestāžu izglītojamos mācību procesa nodrošināšanas laikā;</w:t>
      </w:r>
    </w:p>
    <w:p w14:paraId="69BAFB9C"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5.3. vecuma pensijas saņēmējus;</w:t>
      </w:r>
    </w:p>
    <w:p w14:paraId="45538F5A"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5.4. personas ar invaliditāti.”</w:t>
      </w:r>
    </w:p>
    <w:p w14:paraId="31AF36F4" w14:textId="77777777" w:rsidR="004B3D08" w:rsidRPr="004B3D08" w:rsidRDefault="004B3D08" w:rsidP="004B3D08">
      <w:pPr>
        <w:numPr>
          <w:ilvl w:val="0"/>
          <w:numId w:val="17"/>
        </w:numPr>
        <w:spacing w:after="0" w:line="360" w:lineRule="auto"/>
        <w:ind w:left="0" w:firstLine="567"/>
        <w:jc w:val="both"/>
        <w:rPr>
          <w:rFonts w:ascii="Times New Roman" w:eastAsia="Calibri" w:hAnsi="Times New Roman" w:cs="Times New Roman"/>
          <w:kern w:val="2"/>
          <w:sz w:val="24"/>
          <w:szCs w:val="24"/>
          <w14:ligatures w14:val="standardContextual"/>
        </w:rPr>
      </w:pPr>
      <w:bookmarkStart w:id="2" w:name="_Hlk197899521"/>
      <w:r w:rsidRPr="004B3D08">
        <w:rPr>
          <w:rFonts w:ascii="Times New Roman" w:eastAsia="Calibri" w:hAnsi="Times New Roman" w:cs="Times New Roman"/>
          <w:kern w:val="2"/>
          <w:sz w:val="24"/>
          <w:szCs w:val="24"/>
          <w14:ligatures w14:val="standardContextual"/>
        </w:rPr>
        <w:t xml:space="preserve">UZDOT Gulbenes novada Centrālās pārvaldes vecākajai komunikācijas speciālistei Janai </w:t>
      </w:r>
      <w:proofErr w:type="spellStart"/>
      <w:r w:rsidRPr="004B3D08">
        <w:rPr>
          <w:rFonts w:ascii="Times New Roman" w:eastAsia="Calibri" w:hAnsi="Times New Roman" w:cs="Times New Roman"/>
          <w:kern w:val="2"/>
          <w:sz w:val="24"/>
          <w:szCs w:val="24"/>
          <w14:ligatures w14:val="standardContextual"/>
        </w:rPr>
        <w:t>Igaviņai</w:t>
      </w:r>
      <w:proofErr w:type="spellEnd"/>
      <w:r w:rsidRPr="004B3D08">
        <w:rPr>
          <w:rFonts w:ascii="Times New Roman" w:eastAsia="Calibri" w:hAnsi="Times New Roman" w:cs="Times New Roman"/>
          <w:kern w:val="2"/>
          <w:sz w:val="24"/>
          <w:szCs w:val="24"/>
          <w14:ligatures w14:val="standardContextual"/>
        </w:rPr>
        <w:t xml:space="preserve"> šo lēmumu pēc tā spēkā stāšanās publicēt Gulbenes novada pašvaldības tīmekļvietnē www.gulbene.lv.</w:t>
      </w:r>
      <w:bookmarkEnd w:id="2"/>
    </w:p>
    <w:p w14:paraId="29DBFE84" w14:textId="77777777" w:rsidR="004B3D08" w:rsidRPr="004B3D08" w:rsidRDefault="004B3D08" w:rsidP="004B3D08">
      <w:pPr>
        <w:numPr>
          <w:ilvl w:val="0"/>
          <w:numId w:val="17"/>
        </w:numPr>
        <w:spacing w:after="0" w:line="360" w:lineRule="auto"/>
        <w:ind w:left="0" w:firstLine="567"/>
        <w:jc w:val="both"/>
        <w:rPr>
          <w:rFonts w:ascii="Times New Roman" w:eastAsia="Calibri" w:hAnsi="Times New Roman" w:cs="Times New Roman"/>
          <w:kern w:val="2"/>
          <w:sz w:val="24"/>
          <w:szCs w:val="24"/>
          <w14:ligatures w14:val="standardContextual"/>
        </w:rPr>
      </w:pPr>
      <w:r w:rsidRPr="004B3D08">
        <w:rPr>
          <w:rFonts w:ascii="Times New Roman" w:eastAsia="Calibri" w:hAnsi="Times New Roman" w:cs="Times New Roman"/>
          <w:kern w:val="2"/>
          <w:sz w:val="24"/>
          <w:szCs w:val="24"/>
          <w14:ligatures w14:val="standardContextual"/>
        </w:rPr>
        <w:t xml:space="preserve">Lēmums stājas spēkā 2026.gada 1.maijā. </w:t>
      </w:r>
    </w:p>
    <w:p w14:paraId="77BFD98D" w14:textId="77777777" w:rsidR="004B3D08" w:rsidRPr="004B3D08"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p>
    <w:p w14:paraId="624EFCFF" w14:textId="77777777" w:rsidR="0038302F" w:rsidRPr="00C00E5F" w:rsidRDefault="0038302F" w:rsidP="0038302F">
      <w:pPr>
        <w:pStyle w:val="Sarakstarindkopa"/>
        <w:spacing w:after="0" w:line="360" w:lineRule="auto"/>
        <w:ind w:left="567" w:right="-2"/>
        <w:jc w:val="both"/>
        <w:rPr>
          <w:rFonts w:ascii="Times New Roman" w:hAnsi="Times New Roman" w:cs="Times New Roman"/>
          <w:sz w:val="24"/>
          <w:szCs w:val="24"/>
        </w:rPr>
      </w:pPr>
    </w:p>
    <w:p w14:paraId="250162F5" w14:textId="5B795E12" w:rsidR="00A57F1D" w:rsidRPr="00C00E5F" w:rsidRDefault="00A57F1D" w:rsidP="00A57F1D">
      <w:pPr>
        <w:rPr>
          <w:rFonts w:ascii="Times New Roman" w:hAnsi="Times New Roman" w:cs="Times New Roman"/>
          <w:sz w:val="24"/>
          <w:szCs w:val="24"/>
        </w:rPr>
      </w:pPr>
      <w:r w:rsidRPr="00C00E5F">
        <w:rPr>
          <w:rFonts w:ascii="Times New Roman" w:hAnsi="Times New Roman" w:cs="Times New Roman"/>
          <w:sz w:val="24"/>
          <w:szCs w:val="24"/>
        </w:rPr>
        <w:t>Gulbenes novada pašvaldības domes priekšsēdētājs</w:t>
      </w:r>
      <w:r w:rsidRPr="00C00E5F">
        <w:rPr>
          <w:rFonts w:ascii="Times New Roman" w:hAnsi="Times New Roman" w:cs="Times New Roman"/>
          <w:sz w:val="24"/>
          <w:szCs w:val="24"/>
        </w:rPr>
        <w:tab/>
        <w:t xml:space="preserve">            </w:t>
      </w:r>
      <w:r w:rsidRPr="00C00E5F">
        <w:rPr>
          <w:rFonts w:ascii="Times New Roman" w:hAnsi="Times New Roman" w:cs="Times New Roman"/>
          <w:sz w:val="24"/>
          <w:szCs w:val="24"/>
        </w:rPr>
        <w:tab/>
      </w:r>
      <w:r w:rsidR="00907293" w:rsidRPr="00C00E5F">
        <w:rPr>
          <w:rFonts w:ascii="Times New Roman" w:hAnsi="Times New Roman" w:cs="Times New Roman"/>
          <w:sz w:val="24"/>
          <w:szCs w:val="24"/>
        </w:rPr>
        <w:tab/>
      </w:r>
      <w:r w:rsidR="00907293" w:rsidRPr="00C00E5F">
        <w:rPr>
          <w:rFonts w:ascii="Times New Roman" w:hAnsi="Times New Roman" w:cs="Times New Roman"/>
          <w:sz w:val="24"/>
          <w:szCs w:val="24"/>
        </w:rPr>
        <w:tab/>
      </w:r>
      <w:r w:rsidR="00AF62C3" w:rsidRPr="00C00E5F">
        <w:rPr>
          <w:rFonts w:ascii="Times New Roman" w:hAnsi="Times New Roman" w:cs="Times New Roman"/>
          <w:sz w:val="24"/>
          <w:szCs w:val="24"/>
        </w:rPr>
        <w:t>N.</w:t>
      </w:r>
      <w:r w:rsidR="00D42BF7" w:rsidRPr="00C00E5F">
        <w:rPr>
          <w:rFonts w:ascii="Times New Roman" w:hAnsi="Times New Roman" w:cs="Times New Roman"/>
          <w:sz w:val="24"/>
          <w:szCs w:val="24"/>
        </w:rPr>
        <w:t xml:space="preserve"> </w:t>
      </w:r>
      <w:r w:rsidR="00AF62C3" w:rsidRPr="00C00E5F">
        <w:rPr>
          <w:rFonts w:ascii="Times New Roman" w:hAnsi="Times New Roman" w:cs="Times New Roman"/>
          <w:sz w:val="24"/>
          <w:szCs w:val="24"/>
        </w:rPr>
        <w:t>Mazūrs</w:t>
      </w:r>
    </w:p>
    <w:bookmarkEnd w:id="0"/>
    <w:bookmarkEnd w:id="1"/>
    <w:p w14:paraId="66E69456" w14:textId="67BA08AF" w:rsidR="00251FF7" w:rsidRPr="00E33F32" w:rsidRDefault="00251FF7">
      <w:pPr>
        <w:rPr>
          <w:rFonts w:ascii="Times New Roman" w:eastAsia="Calibri" w:hAnsi="Times New Roman" w:cs="Times New Roman"/>
          <w:sz w:val="24"/>
          <w:szCs w:val="24"/>
        </w:rPr>
      </w:pPr>
    </w:p>
    <w:sectPr w:rsidR="00251FF7" w:rsidRPr="00E33F32" w:rsidSect="00AE09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3871E5"/>
    <w:multiLevelType w:val="hybridMultilevel"/>
    <w:tmpl w:val="17264C46"/>
    <w:lvl w:ilvl="0" w:tplc="37FC20AE">
      <w:start w:val="202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95F30ED"/>
    <w:multiLevelType w:val="multilevel"/>
    <w:tmpl w:val="86A02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9"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E16D41"/>
    <w:multiLevelType w:val="hybridMultilevel"/>
    <w:tmpl w:val="D27C79C6"/>
    <w:lvl w:ilvl="0" w:tplc="658E8C90">
      <w:start w:val="2023"/>
      <w:numFmt w:val="bullet"/>
      <w:lvlText w:val=""/>
      <w:lvlJc w:val="left"/>
      <w:pPr>
        <w:ind w:left="927" w:hanging="360"/>
      </w:pPr>
      <w:rPr>
        <w:rFonts w:ascii="Symbol" w:eastAsiaTheme="minorHAnsi"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abstractNum w:abstractNumId="14" w15:restartNumberingAfterBreak="0">
    <w:nsid w:val="79B13F01"/>
    <w:multiLevelType w:val="hybridMultilevel"/>
    <w:tmpl w:val="F93E68D6"/>
    <w:lvl w:ilvl="0" w:tplc="0562ECFA">
      <w:start w:val="1"/>
      <w:numFmt w:val="decimal"/>
      <w:lvlText w:val="%1."/>
      <w:lvlJc w:val="left"/>
      <w:pPr>
        <w:ind w:left="906"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2091728">
    <w:abstractNumId w:val="8"/>
  </w:num>
  <w:num w:numId="2" w16cid:durableId="1355307162">
    <w:abstractNumId w:val="4"/>
  </w:num>
  <w:num w:numId="3" w16cid:durableId="787968190">
    <w:abstractNumId w:val="13"/>
  </w:num>
  <w:num w:numId="4" w16cid:durableId="1458983702">
    <w:abstractNumId w:val="9"/>
  </w:num>
  <w:num w:numId="5" w16cid:durableId="1354108736">
    <w:abstractNumId w:val="7"/>
  </w:num>
  <w:num w:numId="6" w16cid:durableId="703167083">
    <w:abstractNumId w:val="11"/>
  </w:num>
  <w:num w:numId="7" w16cid:durableId="1075204707">
    <w:abstractNumId w:val="10"/>
  </w:num>
  <w:num w:numId="8" w16cid:durableId="1406299574">
    <w:abstractNumId w:val="6"/>
  </w:num>
  <w:num w:numId="9" w16cid:durableId="661813405">
    <w:abstractNumId w:val="5"/>
  </w:num>
  <w:num w:numId="10" w16cid:durableId="1696999481">
    <w:abstractNumId w:val="1"/>
  </w:num>
  <w:num w:numId="11" w16cid:durableId="1895894853">
    <w:abstractNumId w:val="14"/>
  </w:num>
  <w:num w:numId="12" w16cid:durableId="220288867">
    <w:abstractNumId w:val="12"/>
  </w:num>
  <w:num w:numId="13" w16cid:durableId="844902516">
    <w:abstractNumId w:val="2"/>
  </w:num>
  <w:num w:numId="14" w16cid:durableId="2061587133">
    <w:abstractNumId w:val="0"/>
  </w:num>
  <w:num w:numId="15" w16cid:durableId="1475829756">
    <w:abstractNumId w:val="3"/>
  </w:num>
  <w:num w:numId="16" w16cid:durableId="772087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051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10050"/>
    <w:rsid w:val="000157D2"/>
    <w:rsid w:val="0001748C"/>
    <w:rsid w:val="00026D24"/>
    <w:rsid w:val="00034C67"/>
    <w:rsid w:val="00034E03"/>
    <w:rsid w:val="00042E88"/>
    <w:rsid w:val="00056DEE"/>
    <w:rsid w:val="00060283"/>
    <w:rsid w:val="000740AA"/>
    <w:rsid w:val="000753E9"/>
    <w:rsid w:val="00083D8B"/>
    <w:rsid w:val="0009215F"/>
    <w:rsid w:val="000B5591"/>
    <w:rsid w:val="000C3869"/>
    <w:rsid w:val="000C63BE"/>
    <w:rsid w:val="000D2C7D"/>
    <w:rsid w:val="000D2D4A"/>
    <w:rsid w:val="000D5D38"/>
    <w:rsid w:val="000E2E78"/>
    <w:rsid w:val="000E5236"/>
    <w:rsid w:val="000E7DE2"/>
    <w:rsid w:val="00104E32"/>
    <w:rsid w:val="00106A2B"/>
    <w:rsid w:val="00110EC1"/>
    <w:rsid w:val="0011174B"/>
    <w:rsid w:val="00111EFE"/>
    <w:rsid w:val="00115186"/>
    <w:rsid w:val="00125798"/>
    <w:rsid w:val="00132DE7"/>
    <w:rsid w:val="0015555A"/>
    <w:rsid w:val="00157DE8"/>
    <w:rsid w:val="001653E5"/>
    <w:rsid w:val="00177786"/>
    <w:rsid w:val="00186ED0"/>
    <w:rsid w:val="0019612F"/>
    <w:rsid w:val="001A6A12"/>
    <w:rsid w:val="001B169D"/>
    <w:rsid w:val="001B6E84"/>
    <w:rsid w:val="001C4B68"/>
    <w:rsid w:val="001D05E5"/>
    <w:rsid w:val="001D09C8"/>
    <w:rsid w:val="001D11EB"/>
    <w:rsid w:val="001D14DC"/>
    <w:rsid w:val="001E2DEF"/>
    <w:rsid w:val="001E682C"/>
    <w:rsid w:val="001F4911"/>
    <w:rsid w:val="0020125E"/>
    <w:rsid w:val="00222C8C"/>
    <w:rsid w:val="00231B24"/>
    <w:rsid w:val="00237926"/>
    <w:rsid w:val="00241146"/>
    <w:rsid w:val="00242B98"/>
    <w:rsid w:val="002455D2"/>
    <w:rsid w:val="00251FF7"/>
    <w:rsid w:val="00260CE7"/>
    <w:rsid w:val="00264611"/>
    <w:rsid w:val="002715E3"/>
    <w:rsid w:val="00286E0D"/>
    <w:rsid w:val="002903EE"/>
    <w:rsid w:val="00290459"/>
    <w:rsid w:val="00291F6F"/>
    <w:rsid w:val="0029214A"/>
    <w:rsid w:val="00297EEC"/>
    <w:rsid w:val="002A0649"/>
    <w:rsid w:val="002A5BCC"/>
    <w:rsid w:val="002C0DA5"/>
    <w:rsid w:val="002D4567"/>
    <w:rsid w:val="002D7040"/>
    <w:rsid w:val="002E2A76"/>
    <w:rsid w:val="002E4082"/>
    <w:rsid w:val="002E797D"/>
    <w:rsid w:val="002F25C6"/>
    <w:rsid w:val="002F549D"/>
    <w:rsid w:val="00300752"/>
    <w:rsid w:val="00301538"/>
    <w:rsid w:val="0031144D"/>
    <w:rsid w:val="00314D80"/>
    <w:rsid w:val="0032141B"/>
    <w:rsid w:val="00344980"/>
    <w:rsid w:val="00356275"/>
    <w:rsid w:val="003564A9"/>
    <w:rsid w:val="00360C39"/>
    <w:rsid w:val="0036294C"/>
    <w:rsid w:val="0036462F"/>
    <w:rsid w:val="00364B40"/>
    <w:rsid w:val="0036741E"/>
    <w:rsid w:val="00370AE8"/>
    <w:rsid w:val="00374558"/>
    <w:rsid w:val="00380695"/>
    <w:rsid w:val="0038302F"/>
    <w:rsid w:val="00387A5B"/>
    <w:rsid w:val="003978A1"/>
    <w:rsid w:val="003A2FFE"/>
    <w:rsid w:val="003A4DDC"/>
    <w:rsid w:val="003B5DEB"/>
    <w:rsid w:val="003C19C8"/>
    <w:rsid w:val="003C7D6C"/>
    <w:rsid w:val="003D6F85"/>
    <w:rsid w:val="003D7148"/>
    <w:rsid w:val="003D7773"/>
    <w:rsid w:val="003E2FF3"/>
    <w:rsid w:val="00421E02"/>
    <w:rsid w:val="00430008"/>
    <w:rsid w:val="0043371A"/>
    <w:rsid w:val="00454850"/>
    <w:rsid w:val="004601E9"/>
    <w:rsid w:val="0046386A"/>
    <w:rsid w:val="004665BD"/>
    <w:rsid w:val="00470636"/>
    <w:rsid w:val="00473F13"/>
    <w:rsid w:val="004753FC"/>
    <w:rsid w:val="00481DC2"/>
    <w:rsid w:val="00483DF9"/>
    <w:rsid w:val="004911C3"/>
    <w:rsid w:val="00494878"/>
    <w:rsid w:val="004A4241"/>
    <w:rsid w:val="004A53D9"/>
    <w:rsid w:val="004B3D08"/>
    <w:rsid w:val="004C3AD1"/>
    <w:rsid w:val="004D44DF"/>
    <w:rsid w:val="004D77F7"/>
    <w:rsid w:val="004E07FF"/>
    <w:rsid w:val="004E75C0"/>
    <w:rsid w:val="0051388C"/>
    <w:rsid w:val="00514B48"/>
    <w:rsid w:val="00515DEE"/>
    <w:rsid w:val="00524131"/>
    <w:rsid w:val="00541077"/>
    <w:rsid w:val="00541AD4"/>
    <w:rsid w:val="00551FEE"/>
    <w:rsid w:val="00554033"/>
    <w:rsid w:val="005629D2"/>
    <w:rsid w:val="005751DE"/>
    <w:rsid w:val="00576A30"/>
    <w:rsid w:val="00583374"/>
    <w:rsid w:val="00586A44"/>
    <w:rsid w:val="00597A4C"/>
    <w:rsid w:val="005B164B"/>
    <w:rsid w:val="005B3357"/>
    <w:rsid w:val="005B79E2"/>
    <w:rsid w:val="005C2109"/>
    <w:rsid w:val="005C5E53"/>
    <w:rsid w:val="005D23CD"/>
    <w:rsid w:val="005D6C1F"/>
    <w:rsid w:val="005E08D9"/>
    <w:rsid w:val="005E495A"/>
    <w:rsid w:val="005F1279"/>
    <w:rsid w:val="005F17E8"/>
    <w:rsid w:val="005F5568"/>
    <w:rsid w:val="005F7F32"/>
    <w:rsid w:val="00600416"/>
    <w:rsid w:val="00604D20"/>
    <w:rsid w:val="00607C28"/>
    <w:rsid w:val="006152B8"/>
    <w:rsid w:val="00615AC9"/>
    <w:rsid w:val="00615C0D"/>
    <w:rsid w:val="00623B4D"/>
    <w:rsid w:val="006313D9"/>
    <w:rsid w:val="00641701"/>
    <w:rsid w:val="0064442C"/>
    <w:rsid w:val="00653244"/>
    <w:rsid w:val="00656F67"/>
    <w:rsid w:val="00657A27"/>
    <w:rsid w:val="006611DB"/>
    <w:rsid w:val="00671368"/>
    <w:rsid w:val="00674EA0"/>
    <w:rsid w:val="00681278"/>
    <w:rsid w:val="00687BD1"/>
    <w:rsid w:val="0069193D"/>
    <w:rsid w:val="006B110E"/>
    <w:rsid w:val="006C0903"/>
    <w:rsid w:val="006C09AC"/>
    <w:rsid w:val="006C1D68"/>
    <w:rsid w:val="006C1EE4"/>
    <w:rsid w:val="006C1F37"/>
    <w:rsid w:val="006C337E"/>
    <w:rsid w:val="006C754F"/>
    <w:rsid w:val="006D2CC3"/>
    <w:rsid w:val="006D669C"/>
    <w:rsid w:val="006F1226"/>
    <w:rsid w:val="00700CDC"/>
    <w:rsid w:val="0070577B"/>
    <w:rsid w:val="00720F81"/>
    <w:rsid w:val="00730F9A"/>
    <w:rsid w:val="00735189"/>
    <w:rsid w:val="007400E0"/>
    <w:rsid w:val="0074031B"/>
    <w:rsid w:val="00746A82"/>
    <w:rsid w:val="00756122"/>
    <w:rsid w:val="007655FA"/>
    <w:rsid w:val="00767B76"/>
    <w:rsid w:val="007753DB"/>
    <w:rsid w:val="007779C5"/>
    <w:rsid w:val="007959DA"/>
    <w:rsid w:val="007978A2"/>
    <w:rsid w:val="007A37FA"/>
    <w:rsid w:val="007A3B87"/>
    <w:rsid w:val="007C104C"/>
    <w:rsid w:val="007D0AF8"/>
    <w:rsid w:val="007D1B77"/>
    <w:rsid w:val="007D514D"/>
    <w:rsid w:val="007E4E47"/>
    <w:rsid w:val="00811D9E"/>
    <w:rsid w:val="008163A6"/>
    <w:rsid w:val="0083436F"/>
    <w:rsid w:val="00842E4B"/>
    <w:rsid w:val="00855DDC"/>
    <w:rsid w:val="00867A0C"/>
    <w:rsid w:val="00872493"/>
    <w:rsid w:val="00876F4D"/>
    <w:rsid w:val="00884386"/>
    <w:rsid w:val="008856F8"/>
    <w:rsid w:val="00886EE8"/>
    <w:rsid w:val="0088757A"/>
    <w:rsid w:val="00891F2B"/>
    <w:rsid w:val="008B7551"/>
    <w:rsid w:val="008D36E3"/>
    <w:rsid w:val="008D5F04"/>
    <w:rsid w:val="008D689B"/>
    <w:rsid w:val="008E04F0"/>
    <w:rsid w:val="008E5238"/>
    <w:rsid w:val="00907293"/>
    <w:rsid w:val="0092108E"/>
    <w:rsid w:val="0092126F"/>
    <w:rsid w:val="00922348"/>
    <w:rsid w:val="00925D31"/>
    <w:rsid w:val="00935AB4"/>
    <w:rsid w:val="00937A1A"/>
    <w:rsid w:val="00971F2A"/>
    <w:rsid w:val="00974F24"/>
    <w:rsid w:val="00984538"/>
    <w:rsid w:val="0098769B"/>
    <w:rsid w:val="00990F7B"/>
    <w:rsid w:val="009A2346"/>
    <w:rsid w:val="009A5B36"/>
    <w:rsid w:val="009B1CFA"/>
    <w:rsid w:val="009C249E"/>
    <w:rsid w:val="009D2529"/>
    <w:rsid w:val="009D6AD9"/>
    <w:rsid w:val="009E387F"/>
    <w:rsid w:val="00A00121"/>
    <w:rsid w:val="00A07817"/>
    <w:rsid w:val="00A10780"/>
    <w:rsid w:val="00A11F75"/>
    <w:rsid w:val="00A12202"/>
    <w:rsid w:val="00A127DA"/>
    <w:rsid w:val="00A22C0B"/>
    <w:rsid w:val="00A42619"/>
    <w:rsid w:val="00A57F1D"/>
    <w:rsid w:val="00A66F2F"/>
    <w:rsid w:val="00A7611D"/>
    <w:rsid w:val="00A76215"/>
    <w:rsid w:val="00A9312F"/>
    <w:rsid w:val="00A949E8"/>
    <w:rsid w:val="00AA0DDE"/>
    <w:rsid w:val="00AA55FB"/>
    <w:rsid w:val="00AB0670"/>
    <w:rsid w:val="00AB20E7"/>
    <w:rsid w:val="00AC550C"/>
    <w:rsid w:val="00AC7824"/>
    <w:rsid w:val="00AE096E"/>
    <w:rsid w:val="00AE3350"/>
    <w:rsid w:val="00AF19BD"/>
    <w:rsid w:val="00AF347C"/>
    <w:rsid w:val="00AF62C3"/>
    <w:rsid w:val="00B07328"/>
    <w:rsid w:val="00B10B54"/>
    <w:rsid w:val="00B14930"/>
    <w:rsid w:val="00B17B3C"/>
    <w:rsid w:val="00B263CD"/>
    <w:rsid w:val="00B26D6D"/>
    <w:rsid w:val="00B30BB5"/>
    <w:rsid w:val="00B341ED"/>
    <w:rsid w:val="00B35C77"/>
    <w:rsid w:val="00B35C7A"/>
    <w:rsid w:val="00B36A1E"/>
    <w:rsid w:val="00B472C7"/>
    <w:rsid w:val="00B50D3D"/>
    <w:rsid w:val="00B703D4"/>
    <w:rsid w:val="00B70484"/>
    <w:rsid w:val="00B71C39"/>
    <w:rsid w:val="00B747BE"/>
    <w:rsid w:val="00B77F53"/>
    <w:rsid w:val="00B8475A"/>
    <w:rsid w:val="00B86156"/>
    <w:rsid w:val="00B91BA8"/>
    <w:rsid w:val="00B93566"/>
    <w:rsid w:val="00B97237"/>
    <w:rsid w:val="00B97398"/>
    <w:rsid w:val="00BC3A0F"/>
    <w:rsid w:val="00BC6EFB"/>
    <w:rsid w:val="00BC745F"/>
    <w:rsid w:val="00BD02FC"/>
    <w:rsid w:val="00BD0783"/>
    <w:rsid w:val="00BD30A9"/>
    <w:rsid w:val="00BE4CDF"/>
    <w:rsid w:val="00BF0F5F"/>
    <w:rsid w:val="00C00E5F"/>
    <w:rsid w:val="00C14725"/>
    <w:rsid w:val="00C17A32"/>
    <w:rsid w:val="00C40D60"/>
    <w:rsid w:val="00C47B2A"/>
    <w:rsid w:val="00C50930"/>
    <w:rsid w:val="00C64B6C"/>
    <w:rsid w:val="00C74E3A"/>
    <w:rsid w:val="00C82CDA"/>
    <w:rsid w:val="00C85CB7"/>
    <w:rsid w:val="00C94FE5"/>
    <w:rsid w:val="00C9646A"/>
    <w:rsid w:val="00CA2A5C"/>
    <w:rsid w:val="00CB1EBE"/>
    <w:rsid w:val="00CB49A8"/>
    <w:rsid w:val="00CD30A8"/>
    <w:rsid w:val="00CD4565"/>
    <w:rsid w:val="00CE08F1"/>
    <w:rsid w:val="00CE1258"/>
    <w:rsid w:val="00CE79E8"/>
    <w:rsid w:val="00CF38DC"/>
    <w:rsid w:val="00CF6F5D"/>
    <w:rsid w:val="00D00272"/>
    <w:rsid w:val="00D03C81"/>
    <w:rsid w:val="00D12CC0"/>
    <w:rsid w:val="00D12F8C"/>
    <w:rsid w:val="00D16CB0"/>
    <w:rsid w:val="00D26A4F"/>
    <w:rsid w:val="00D30CFF"/>
    <w:rsid w:val="00D42BF7"/>
    <w:rsid w:val="00D4539E"/>
    <w:rsid w:val="00D528B8"/>
    <w:rsid w:val="00D55100"/>
    <w:rsid w:val="00D60C82"/>
    <w:rsid w:val="00D61DC9"/>
    <w:rsid w:val="00D657CC"/>
    <w:rsid w:val="00D65C05"/>
    <w:rsid w:val="00D71AF1"/>
    <w:rsid w:val="00D72753"/>
    <w:rsid w:val="00D747E3"/>
    <w:rsid w:val="00D86965"/>
    <w:rsid w:val="00D87F09"/>
    <w:rsid w:val="00D93619"/>
    <w:rsid w:val="00D93997"/>
    <w:rsid w:val="00D97BF0"/>
    <w:rsid w:val="00DA32D7"/>
    <w:rsid w:val="00DB0DEC"/>
    <w:rsid w:val="00DC5B17"/>
    <w:rsid w:val="00DD5D7A"/>
    <w:rsid w:val="00DD6186"/>
    <w:rsid w:val="00DD69C7"/>
    <w:rsid w:val="00DE189A"/>
    <w:rsid w:val="00DE34C5"/>
    <w:rsid w:val="00DF4E7C"/>
    <w:rsid w:val="00E00211"/>
    <w:rsid w:val="00E03E57"/>
    <w:rsid w:val="00E170F7"/>
    <w:rsid w:val="00E20C70"/>
    <w:rsid w:val="00E272DC"/>
    <w:rsid w:val="00E33F32"/>
    <w:rsid w:val="00E467FF"/>
    <w:rsid w:val="00E5158E"/>
    <w:rsid w:val="00E55866"/>
    <w:rsid w:val="00E55AD1"/>
    <w:rsid w:val="00E63476"/>
    <w:rsid w:val="00E707D8"/>
    <w:rsid w:val="00E7401F"/>
    <w:rsid w:val="00E87E38"/>
    <w:rsid w:val="00E9707D"/>
    <w:rsid w:val="00EA6BEB"/>
    <w:rsid w:val="00EB37D5"/>
    <w:rsid w:val="00EB5970"/>
    <w:rsid w:val="00EC72ED"/>
    <w:rsid w:val="00ED4A40"/>
    <w:rsid w:val="00EE70CA"/>
    <w:rsid w:val="00F04BCA"/>
    <w:rsid w:val="00F11660"/>
    <w:rsid w:val="00F25918"/>
    <w:rsid w:val="00F35180"/>
    <w:rsid w:val="00F362FA"/>
    <w:rsid w:val="00F5077C"/>
    <w:rsid w:val="00F53EBA"/>
    <w:rsid w:val="00F53EDE"/>
    <w:rsid w:val="00F57352"/>
    <w:rsid w:val="00F63DFE"/>
    <w:rsid w:val="00F877B3"/>
    <w:rsid w:val="00F967E1"/>
    <w:rsid w:val="00F97222"/>
    <w:rsid w:val="00FA3EC9"/>
    <w:rsid w:val="00FA6C95"/>
    <w:rsid w:val="00FB3F5F"/>
    <w:rsid w:val="00FB40B9"/>
    <w:rsid w:val="00FC4D91"/>
    <w:rsid w:val="00FE1166"/>
    <w:rsid w:val="00FE59C9"/>
    <w:rsid w:val="00FF3670"/>
    <w:rsid w:val="00FF66C7"/>
    <w:rsid w:val="00FF7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 w:type="character" w:customStyle="1" w:styleId="BezatstarpmRakstz">
    <w:name w:val="Bez atstarpēm Rakstz."/>
    <w:link w:val="Bezatstarpm"/>
    <w:uiPriority w:val="1"/>
    <w:locked/>
    <w:rsid w:val="00A5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58358691">
      <w:bodyDiv w:val="1"/>
      <w:marLeft w:val="0"/>
      <w:marRight w:val="0"/>
      <w:marTop w:val="0"/>
      <w:marBottom w:val="0"/>
      <w:divBdr>
        <w:top w:val="none" w:sz="0" w:space="0" w:color="auto"/>
        <w:left w:val="none" w:sz="0" w:space="0" w:color="auto"/>
        <w:bottom w:val="none" w:sz="0" w:space="0" w:color="auto"/>
        <w:right w:val="none" w:sz="0" w:space="0" w:color="auto"/>
      </w:divBdr>
    </w:div>
    <w:div w:id="93944835">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 w:id="990324996">
      <w:bodyDiv w:val="1"/>
      <w:marLeft w:val="0"/>
      <w:marRight w:val="0"/>
      <w:marTop w:val="0"/>
      <w:marBottom w:val="0"/>
      <w:divBdr>
        <w:top w:val="none" w:sz="0" w:space="0" w:color="auto"/>
        <w:left w:val="none" w:sz="0" w:space="0" w:color="auto"/>
        <w:bottom w:val="none" w:sz="0" w:space="0" w:color="auto"/>
        <w:right w:val="none" w:sz="0" w:space="0" w:color="auto"/>
      </w:divBdr>
    </w:div>
    <w:div w:id="1456560023">
      <w:bodyDiv w:val="1"/>
      <w:marLeft w:val="0"/>
      <w:marRight w:val="0"/>
      <w:marTop w:val="0"/>
      <w:marBottom w:val="0"/>
      <w:divBdr>
        <w:top w:val="none" w:sz="0" w:space="0" w:color="auto"/>
        <w:left w:val="none" w:sz="0" w:space="0" w:color="auto"/>
        <w:bottom w:val="none" w:sz="0" w:space="0" w:color="auto"/>
        <w:right w:val="none" w:sz="0" w:space="0" w:color="auto"/>
      </w:divBdr>
    </w:div>
    <w:div w:id="1527475615">
      <w:bodyDiv w:val="1"/>
      <w:marLeft w:val="0"/>
      <w:marRight w:val="0"/>
      <w:marTop w:val="0"/>
      <w:marBottom w:val="0"/>
      <w:divBdr>
        <w:top w:val="none" w:sz="0" w:space="0" w:color="auto"/>
        <w:left w:val="none" w:sz="0" w:space="0" w:color="auto"/>
        <w:bottom w:val="none" w:sz="0" w:space="0" w:color="auto"/>
        <w:right w:val="none" w:sz="0" w:space="0" w:color="auto"/>
      </w:divBdr>
    </w:div>
    <w:div w:id="1920678564">
      <w:bodyDiv w:val="1"/>
      <w:marLeft w:val="0"/>
      <w:marRight w:val="0"/>
      <w:marTop w:val="0"/>
      <w:marBottom w:val="0"/>
      <w:divBdr>
        <w:top w:val="none" w:sz="0" w:space="0" w:color="auto"/>
        <w:left w:val="none" w:sz="0" w:space="0" w:color="auto"/>
        <w:bottom w:val="none" w:sz="0" w:space="0" w:color="auto"/>
        <w:right w:val="none" w:sz="0" w:space="0" w:color="auto"/>
      </w:divBdr>
    </w:div>
    <w:div w:id="2043895657">
      <w:bodyDiv w:val="1"/>
      <w:marLeft w:val="0"/>
      <w:marRight w:val="0"/>
      <w:marTop w:val="0"/>
      <w:marBottom w:val="0"/>
      <w:divBdr>
        <w:top w:val="none" w:sz="0" w:space="0" w:color="auto"/>
        <w:left w:val="none" w:sz="0" w:space="0" w:color="auto"/>
        <w:bottom w:val="none" w:sz="0" w:space="0" w:color="auto"/>
        <w:right w:val="none" w:sz="0" w:space="0" w:color="auto"/>
      </w:divBdr>
    </w:div>
    <w:div w:id="21362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7BBC-37E8-4F40-9FB9-2A9E68B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2735</Words>
  <Characters>1560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2026-03-27T07:39:00Z</cp:lastPrinted>
  <dcterms:created xsi:type="dcterms:W3CDTF">2026-03-31T07:30:00Z</dcterms:created>
  <dcterms:modified xsi:type="dcterms:W3CDTF">2026-03-31T07:30:00Z</dcterms:modified>
</cp:coreProperties>
</file>