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501993" w14:paraId="46022AC2" w14:textId="77777777" w:rsidTr="00267AD8">
        <w:tc>
          <w:tcPr>
            <w:tcW w:w="9458" w:type="dxa"/>
          </w:tcPr>
          <w:p w14:paraId="4528B706"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E6EA49B" wp14:editId="45AD932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501993" w14:paraId="1B32D287" w14:textId="77777777" w:rsidTr="00267AD8">
        <w:tc>
          <w:tcPr>
            <w:tcW w:w="9458" w:type="dxa"/>
          </w:tcPr>
          <w:p w14:paraId="5C2F3C8D"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501993" w14:paraId="6AAEF1B5" w14:textId="77777777" w:rsidTr="00267AD8">
        <w:tc>
          <w:tcPr>
            <w:tcW w:w="9458" w:type="dxa"/>
          </w:tcPr>
          <w:p w14:paraId="07C34EB4"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501993" w14:paraId="2300FA38" w14:textId="77777777" w:rsidTr="00267AD8">
        <w:tc>
          <w:tcPr>
            <w:tcW w:w="9458" w:type="dxa"/>
          </w:tcPr>
          <w:p w14:paraId="547B8DEF"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501993" w14:paraId="503C5070" w14:textId="77777777" w:rsidTr="00267AD8">
        <w:tc>
          <w:tcPr>
            <w:tcW w:w="9458" w:type="dxa"/>
          </w:tcPr>
          <w:p w14:paraId="778BFB80"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4E6CB1B" w14:textId="77777777" w:rsidR="00501993" w:rsidRDefault="00501993"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150A8C4D" w14:textId="77777777" w:rsidR="00501993" w:rsidRDefault="00501993"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0B51002" w14:textId="77777777" w:rsidR="00501993" w:rsidRPr="005874E4" w:rsidRDefault="00501993" w:rsidP="00501993">
      <w:pPr>
        <w:pStyle w:val="Bezatstarpm"/>
        <w:jc w:val="center"/>
        <w:rPr>
          <w:rFonts w:ascii="Times New Roman" w:hAnsi="Times New Roman" w:cs="Times New Roman"/>
          <w:sz w:val="24"/>
          <w:szCs w:val="24"/>
        </w:rPr>
      </w:pPr>
    </w:p>
    <w:tbl>
      <w:tblPr>
        <w:tblW w:w="9458" w:type="dxa"/>
        <w:tblInd w:w="-108" w:type="dxa"/>
        <w:tblLook w:val="04A0" w:firstRow="1" w:lastRow="0" w:firstColumn="1" w:lastColumn="0" w:noHBand="0" w:noVBand="1"/>
      </w:tblPr>
      <w:tblGrid>
        <w:gridCol w:w="4729"/>
        <w:gridCol w:w="4729"/>
      </w:tblGrid>
      <w:tr w:rsidR="00501993" w14:paraId="23D2194D" w14:textId="77777777" w:rsidTr="00267AD8">
        <w:tc>
          <w:tcPr>
            <w:tcW w:w="4729" w:type="dxa"/>
          </w:tcPr>
          <w:p w14:paraId="4D33F2BE" w14:textId="7A3FAC94" w:rsidR="00501993" w:rsidRPr="00EA6BEB" w:rsidRDefault="00501993" w:rsidP="00267AD8">
            <w:pPr>
              <w:rPr>
                <w:b/>
                <w:bCs/>
              </w:rPr>
            </w:pPr>
            <w:r>
              <w:rPr>
                <w:b/>
                <w:bCs/>
              </w:rPr>
              <w:t>202</w:t>
            </w:r>
            <w:r w:rsidR="00B67279">
              <w:rPr>
                <w:b/>
                <w:bCs/>
              </w:rPr>
              <w:t>6</w:t>
            </w:r>
            <w:r w:rsidRPr="00EA6BEB">
              <w:rPr>
                <w:b/>
                <w:bCs/>
              </w:rPr>
              <w:t>.gada</w:t>
            </w:r>
            <w:r>
              <w:rPr>
                <w:b/>
                <w:bCs/>
              </w:rPr>
              <w:t xml:space="preserve"> </w:t>
            </w:r>
            <w:r w:rsidR="009F523E">
              <w:rPr>
                <w:b/>
                <w:bCs/>
              </w:rPr>
              <w:t>17</w:t>
            </w:r>
            <w:r w:rsidR="00C4489A">
              <w:rPr>
                <w:b/>
                <w:bCs/>
              </w:rPr>
              <w:t>.</w:t>
            </w:r>
            <w:r w:rsidR="009F523E">
              <w:rPr>
                <w:b/>
                <w:bCs/>
              </w:rPr>
              <w:t>jūnijā</w:t>
            </w:r>
          </w:p>
        </w:tc>
        <w:tc>
          <w:tcPr>
            <w:tcW w:w="4729" w:type="dxa"/>
          </w:tcPr>
          <w:p w14:paraId="5CF450F1" w14:textId="5230C26C" w:rsidR="00501993" w:rsidRPr="00EA6BEB" w:rsidRDefault="00501993" w:rsidP="00267AD8">
            <w:pPr>
              <w:jc w:val="center"/>
              <w:rPr>
                <w:b/>
                <w:bCs/>
              </w:rPr>
            </w:pPr>
            <w:r>
              <w:rPr>
                <w:b/>
                <w:bCs/>
              </w:rPr>
              <w:t xml:space="preserve">                                     </w:t>
            </w:r>
            <w:r w:rsidRPr="00EA6BEB">
              <w:rPr>
                <w:b/>
                <w:bCs/>
              </w:rPr>
              <w:t>Nr.</w:t>
            </w:r>
            <w:r>
              <w:rPr>
                <w:b/>
                <w:bCs/>
              </w:rPr>
              <w:t xml:space="preserve"> GND/202</w:t>
            </w:r>
            <w:r w:rsidR="00B67279">
              <w:rPr>
                <w:b/>
                <w:bCs/>
              </w:rPr>
              <w:t>6</w:t>
            </w:r>
            <w:r w:rsidRPr="00EA6BEB">
              <w:rPr>
                <w:b/>
                <w:bCs/>
              </w:rPr>
              <w:t>/</w:t>
            </w:r>
          </w:p>
        </w:tc>
      </w:tr>
      <w:tr w:rsidR="00501993" w14:paraId="7AB86103" w14:textId="77777777" w:rsidTr="00267AD8">
        <w:tc>
          <w:tcPr>
            <w:tcW w:w="4729" w:type="dxa"/>
          </w:tcPr>
          <w:p w14:paraId="4E215A17" w14:textId="77777777" w:rsidR="00501993" w:rsidRPr="00AA417B" w:rsidRDefault="00501993" w:rsidP="00267AD8">
            <w:pPr>
              <w:rPr>
                <w:b/>
                <w:bCs/>
              </w:rPr>
            </w:pPr>
          </w:p>
        </w:tc>
        <w:tc>
          <w:tcPr>
            <w:tcW w:w="4729" w:type="dxa"/>
          </w:tcPr>
          <w:p w14:paraId="708A0A41" w14:textId="77777777" w:rsidR="00501993" w:rsidRPr="00EA6BEB" w:rsidRDefault="00501993" w:rsidP="00267AD8">
            <w:pPr>
              <w:jc w:val="center"/>
              <w:rPr>
                <w:b/>
                <w:bCs/>
              </w:rPr>
            </w:pPr>
            <w:r>
              <w:rPr>
                <w:b/>
                <w:bCs/>
              </w:rPr>
              <w:t xml:space="preserve">                                     </w:t>
            </w:r>
            <w:r w:rsidRPr="00EA6BEB">
              <w:rPr>
                <w:b/>
                <w:bCs/>
              </w:rPr>
              <w:t>(protokols Nr.; .p</w:t>
            </w:r>
            <w:r>
              <w:rPr>
                <w:b/>
                <w:bCs/>
              </w:rPr>
              <w:t>.</w:t>
            </w:r>
            <w:r w:rsidRPr="00EA6BEB">
              <w:rPr>
                <w:b/>
                <w:bCs/>
              </w:rPr>
              <w:t>)</w:t>
            </w:r>
          </w:p>
        </w:tc>
      </w:tr>
    </w:tbl>
    <w:p w14:paraId="1DD03E73" w14:textId="77777777" w:rsidR="006218DC" w:rsidRPr="005874E4" w:rsidRDefault="006218DC" w:rsidP="002E5806">
      <w:pPr>
        <w:pStyle w:val="Default"/>
      </w:pPr>
    </w:p>
    <w:p w14:paraId="58F87AA6" w14:textId="4D97BEAA" w:rsidR="00296802" w:rsidRPr="00B2092A" w:rsidRDefault="00AE3AE2"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r w:rsidR="00563C55">
        <w:rPr>
          <w:b/>
          <w:bCs/>
        </w:rPr>
        <w:t>Nr.</w:t>
      </w:r>
      <w:r w:rsidR="009F44B7">
        <w:rPr>
          <w:b/>
          <w:bCs/>
        </w:rPr>
        <w:t> </w:t>
      </w:r>
      <w:r w:rsidR="00563C55" w:rsidRPr="00563C55">
        <w:rPr>
          <w:b/>
          <w:bCs/>
        </w:rPr>
        <w:t>GND/IEK/2022/16</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xml:space="preserve">”” </w:t>
      </w:r>
      <w:r w:rsidR="00B67279">
        <w:rPr>
          <w:b/>
          <w:bCs/>
        </w:rPr>
        <w:t>izdošanu</w:t>
      </w:r>
    </w:p>
    <w:p w14:paraId="7E74ECAE" w14:textId="77777777" w:rsidR="00563C55" w:rsidRPr="005874E4" w:rsidRDefault="00563C55" w:rsidP="002E5806">
      <w:pPr>
        <w:pStyle w:val="Default"/>
      </w:pPr>
    </w:p>
    <w:p w14:paraId="3D07D600" w14:textId="517A5939" w:rsidR="00D3298C" w:rsidRPr="00D3298C" w:rsidRDefault="00C466B6" w:rsidP="00D3298C">
      <w:pPr>
        <w:spacing w:line="360" w:lineRule="auto"/>
        <w:ind w:firstLine="567"/>
        <w:jc w:val="both"/>
      </w:pPr>
      <w:r w:rsidRPr="005874E4">
        <w:t>Ir izstrādāts iekšējā normatīvā akta “Grozījumi Gulbenes novada pašvaldības domes 2022.gada 30.jūnija iekšējā normatīvajā aktā Nr.</w:t>
      </w:r>
      <w:r w:rsidR="009F44B7">
        <w:t> </w:t>
      </w:r>
      <w:r w:rsidRPr="005874E4">
        <w:t>GND/IEK/2022/16 “Gulbenes novada pašvaldības amatpersonu un darbinieku atlīdzības nolikums”” projekts, kas</w:t>
      </w:r>
      <w:r w:rsidR="00D6628D">
        <w:t>,</w:t>
      </w:r>
      <w:r w:rsidR="003C266F">
        <w:t xml:space="preserve"> </w:t>
      </w:r>
      <w:r w:rsidR="003C266F" w:rsidRPr="003C266F">
        <w:t>pamatojoties uz Gulbenes novada pašvaldības domes 2025.gada 18.decembra lēmumu Nr. GND/2025/889 “Par amata vietas izveidi” (protokols Nr. 27; 58.p.)</w:t>
      </w:r>
      <w:r w:rsidR="00D4358E">
        <w:t>,</w:t>
      </w:r>
      <w:r w:rsidR="005874E4">
        <w:t xml:space="preserve"> </w:t>
      </w:r>
      <w:r w:rsidR="003C266F">
        <w:t xml:space="preserve">paredz </w:t>
      </w:r>
      <w:r w:rsidR="003C266F" w:rsidRPr="003C266F">
        <w:t>papildināt spēkā esošo regulējumu ar jaunu amatu – izpilddirektora vietnieks, jo pašreizējie atlīdzības noteikumi to neietver. Grozījumi nepieciešami, lai amatu integrētu pašvaldības vienotajā atlīdzības sistēmā un tiesiski attiecinātu uz to noteikumos paredzētās piemaksas, sociālās garantijas un pabalstus saskaņā ar Atlīdzības likumu.</w:t>
      </w:r>
    </w:p>
    <w:p w14:paraId="63C66209" w14:textId="73BE4CF7" w:rsidR="00956F45" w:rsidRPr="00A32586" w:rsidRDefault="00C82E8B" w:rsidP="000A4C9A">
      <w:pPr>
        <w:spacing w:line="360" w:lineRule="auto"/>
        <w:ind w:firstLine="567"/>
        <w:jc w:val="both"/>
      </w:pPr>
      <w:r w:rsidRPr="00C82E8B">
        <w:t xml:space="preserve">Ņemot vērā augstāk minēto un pamatojoties uz Pašvaldību likuma 9.panta ceturto daļu, 10.panta pirmās daļas 14.punktu, 20.panta trešo daļu un 53.panta trešo daļu, Valsts un pašvaldību institūciju amatpersonu un darbinieku atlīdzības likumu, </w:t>
      </w:r>
      <w:r w:rsidR="00C466B6" w:rsidRPr="00A32586">
        <w:t xml:space="preserve">atklāti balsojot: </w:t>
      </w:r>
      <w:r w:rsidR="006C2023" w:rsidRPr="00A32586">
        <w:rPr>
          <w:noProof/>
        </w:rPr>
        <w:t>"Par"</w:t>
      </w:r>
      <w:r w:rsidR="005671B6" w:rsidRPr="00A32586">
        <w:rPr>
          <w:noProof/>
        </w:rPr>
        <w:t>- ____</w:t>
      </w:r>
      <w:r w:rsidR="006C2023" w:rsidRPr="00A32586">
        <w:rPr>
          <w:noProof/>
        </w:rPr>
        <w:t>, "Pret"</w:t>
      </w:r>
      <w:r w:rsidR="005671B6" w:rsidRPr="00A32586">
        <w:rPr>
          <w:noProof/>
        </w:rPr>
        <w:t>- ____</w:t>
      </w:r>
      <w:r w:rsidR="006C2023" w:rsidRPr="00A32586">
        <w:rPr>
          <w:noProof/>
        </w:rPr>
        <w:t>, "Atturas</w:t>
      </w:r>
      <w:r w:rsidR="005671B6" w:rsidRPr="00A32586">
        <w:rPr>
          <w:noProof/>
        </w:rPr>
        <w:t>”- ____</w:t>
      </w:r>
      <w:r w:rsidR="00956F45" w:rsidRPr="00A32586">
        <w:t xml:space="preserve">, </w:t>
      </w:r>
      <w:r w:rsidR="00D51D84" w:rsidRPr="00A32586">
        <w:t>Gulbenes novada</w:t>
      </w:r>
      <w:r w:rsidR="009E52B7" w:rsidRPr="00A32586">
        <w:t xml:space="preserve"> pašvaldības</w:t>
      </w:r>
      <w:r w:rsidR="00D51D84" w:rsidRPr="00A32586">
        <w:t xml:space="preserve"> dome</w:t>
      </w:r>
      <w:r w:rsidR="009016C0" w:rsidRPr="00A32586">
        <w:t xml:space="preserve"> </w:t>
      </w:r>
      <w:r w:rsidR="00956F45" w:rsidRPr="00A32586">
        <w:t>NOLEMJ:</w:t>
      </w:r>
    </w:p>
    <w:p w14:paraId="4CABDC78" w14:textId="3404472C" w:rsidR="0075285A" w:rsidRPr="00C466B6" w:rsidRDefault="00B67279" w:rsidP="0075285A">
      <w:pPr>
        <w:spacing w:line="360" w:lineRule="auto"/>
        <w:ind w:firstLine="709"/>
        <w:jc w:val="both"/>
        <w:rPr>
          <w:rFonts w:eastAsiaTheme="minorHAnsi"/>
          <w:lang w:eastAsia="en-US"/>
        </w:rPr>
      </w:pPr>
      <w:r w:rsidRPr="00A32586">
        <w:rPr>
          <w:rFonts w:eastAsiaTheme="minorHAnsi"/>
          <w:lang w:eastAsia="en-US"/>
        </w:rPr>
        <w:t>IZDOT</w:t>
      </w:r>
      <w:r w:rsidR="0075285A" w:rsidRPr="00A32586">
        <w:rPr>
          <w:rFonts w:eastAsiaTheme="minorHAnsi"/>
          <w:lang w:eastAsia="en-US"/>
        </w:rPr>
        <w:t xml:space="preserve"> iekšējo normatīvo aktu “</w:t>
      </w:r>
      <w:r w:rsidR="005F5498" w:rsidRPr="00A32586">
        <w:rPr>
          <w:rFonts w:eastAsiaTheme="minorHAnsi"/>
          <w:lang w:eastAsia="en-US"/>
        </w:rPr>
        <w:t>Grozījum</w:t>
      </w:r>
      <w:r w:rsidR="00C466B6" w:rsidRPr="00A32586">
        <w:rPr>
          <w:rFonts w:eastAsiaTheme="minorHAnsi"/>
          <w:lang w:eastAsia="en-US"/>
        </w:rPr>
        <w:t>i</w:t>
      </w:r>
      <w:r w:rsidR="005F5498" w:rsidRPr="00A32586">
        <w:rPr>
          <w:rFonts w:eastAsiaTheme="minorHAnsi"/>
          <w:lang w:eastAsia="en-US"/>
        </w:rPr>
        <w:t xml:space="preserve"> Gulbenes novada </w:t>
      </w:r>
      <w:r w:rsidR="00FE5AEE" w:rsidRPr="00A32586">
        <w:rPr>
          <w:rFonts w:eastAsiaTheme="minorHAnsi"/>
          <w:lang w:eastAsia="en-US"/>
        </w:rPr>
        <w:t xml:space="preserve">pašvaldības </w:t>
      </w:r>
      <w:r w:rsidR="005F5498" w:rsidRPr="00A32586">
        <w:rPr>
          <w:rFonts w:eastAsiaTheme="minorHAnsi"/>
          <w:lang w:eastAsia="en-US"/>
        </w:rPr>
        <w:t xml:space="preserve">domes 2022.gada 30.jūnija iekšējā normatīvajā aktā </w:t>
      </w:r>
      <w:r w:rsidR="00FE5AEE" w:rsidRPr="00A32586">
        <w:rPr>
          <w:rFonts w:eastAsiaTheme="minorHAnsi"/>
          <w:lang w:eastAsia="en-US"/>
        </w:rPr>
        <w:t>Nr.</w:t>
      </w:r>
      <w:r w:rsidR="009F44B7">
        <w:rPr>
          <w:rFonts w:eastAsiaTheme="minorHAnsi"/>
          <w:lang w:eastAsia="en-US"/>
        </w:rPr>
        <w:t> </w:t>
      </w:r>
      <w:r w:rsidR="00FE5AEE" w:rsidRPr="00A32586">
        <w:rPr>
          <w:rFonts w:eastAsiaTheme="minorHAnsi"/>
          <w:lang w:eastAsia="en-US"/>
        </w:rPr>
        <w:t xml:space="preserve">GND/IEK/2022/16 </w:t>
      </w:r>
      <w:r w:rsidR="005F5498" w:rsidRPr="00A32586">
        <w:rPr>
          <w:rFonts w:eastAsiaTheme="minorHAnsi"/>
          <w:lang w:eastAsia="en-US"/>
        </w:rPr>
        <w:t>“Gulbenes novada pašvaldības amatpersonu un darbinieku atlīdzības nolikums””</w:t>
      </w:r>
      <w:r w:rsidR="0075285A" w:rsidRPr="00A32586">
        <w:rPr>
          <w:rFonts w:eastAsiaTheme="minorHAnsi"/>
          <w:lang w:eastAsia="en-US"/>
        </w:rPr>
        <w:t xml:space="preserve"> (pielikumā).</w:t>
      </w:r>
    </w:p>
    <w:p w14:paraId="7835C254" w14:textId="77777777" w:rsidR="0075285A" w:rsidRPr="00C466B6" w:rsidRDefault="0075285A" w:rsidP="0075285A">
      <w:pPr>
        <w:spacing w:line="360" w:lineRule="auto"/>
        <w:jc w:val="both"/>
        <w:rPr>
          <w:rFonts w:eastAsiaTheme="minorHAnsi"/>
          <w:sz w:val="16"/>
          <w:szCs w:val="16"/>
          <w:lang w:eastAsia="en-US"/>
        </w:rPr>
      </w:pPr>
    </w:p>
    <w:p w14:paraId="7F20B8D9" w14:textId="6037F1F9" w:rsidR="00501993" w:rsidRPr="00CB0370" w:rsidRDefault="00501993"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proofErr w:type="spellStart"/>
      <w:r w:rsidR="00C466B6" w:rsidRPr="00C466B6">
        <w:rPr>
          <w:rFonts w:eastAsiaTheme="minorHAnsi"/>
          <w:lang w:eastAsia="en-US"/>
        </w:rPr>
        <w:t>N.Mazūrs</w:t>
      </w:r>
      <w:proofErr w:type="spellEnd"/>
    </w:p>
    <w:p w14:paraId="78DD812D" w14:textId="717E8998" w:rsidR="00CB38BA" w:rsidRDefault="00CB38BA"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75285A" w:rsidRPr="0075285A" w14:paraId="5E81CF87" w14:textId="77777777" w:rsidTr="002B248C">
        <w:tc>
          <w:tcPr>
            <w:tcW w:w="9258" w:type="dxa"/>
          </w:tcPr>
          <w:p w14:paraId="786F3CF1"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0BCF8BCE" wp14:editId="343316A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85A" w:rsidRPr="0075285A" w14:paraId="5B25AC8C" w14:textId="77777777" w:rsidTr="002B248C">
        <w:tc>
          <w:tcPr>
            <w:tcW w:w="9258" w:type="dxa"/>
          </w:tcPr>
          <w:p w14:paraId="35035020"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75285A" w:rsidRPr="0075285A" w14:paraId="3176A952" w14:textId="77777777" w:rsidTr="002B248C">
        <w:tc>
          <w:tcPr>
            <w:tcW w:w="9258" w:type="dxa"/>
          </w:tcPr>
          <w:p w14:paraId="4F59574B"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75285A" w:rsidRPr="0075285A" w14:paraId="33BC38F1" w14:textId="77777777" w:rsidTr="002B248C">
        <w:tc>
          <w:tcPr>
            <w:tcW w:w="9258" w:type="dxa"/>
          </w:tcPr>
          <w:p w14:paraId="304A76CC"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75285A" w:rsidRPr="0075285A" w14:paraId="1A201E7D" w14:textId="77777777" w:rsidTr="002B248C">
        <w:tc>
          <w:tcPr>
            <w:tcW w:w="9258" w:type="dxa"/>
          </w:tcPr>
          <w:p w14:paraId="56E13E4E"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5EAC5731" w14:textId="77777777" w:rsidR="009E52B7" w:rsidRPr="004B4B53" w:rsidRDefault="009E52B7"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1499D2B6" w14:textId="07DD4E23" w:rsidR="009E52B7" w:rsidRPr="00D66629" w:rsidRDefault="009E52B7"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B67279">
        <w:rPr>
          <w:rFonts w:eastAsia="Calibri"/>
          <w:lang w:eastAsia="en-US"/>
        </w:rPr>
        <w:t>6</w:t>
      </w:r>
      <w:r w:rsidRPr="004B4B53">
        <w:rPr>
          <w:rFonts w:eastAsia="Calibri"/>
          <w:lang w:eastAsia="en-US"/>
        </w:rPr>
        <w:t xml:space="preserve">.gada </w:t>
      </w:r>
      <w:r w:rsidR="00C82E8B">
        <w:rPr>
          <w:rFonts w:eastAsia="Calibri"/>
          <w:lang w:eastAsia="en-US"/>
        </w:rPr>
        <w:t>17</w:t>
      </w:r>
      <w:r>
        <w:rPr>
          <w:rFonts w:eastAsia="Calibri"/>
          <w:lang w:eastAsia="en-US"/>
        </w:rPr>
        <w:t>.</w:t>
      </w:r>
      <w:r w:rsidR="00C82E8B">
        <w:rPr>
          <w:rFonts w:eastAsia="Calibri"/>
          <w:lang w:eastAsia="en-US"/>
        </w:rPr>
        <w:t>jūnija</w:t>
      </w:r>
      <w:r w:rsidRPr="004B4B53">
        <w:rPr>
          <w:rFonts w:eastAsia="Calibri"/>
          <w:lang w:eastAsia="en-US"/>
        </w:rPr>
        <w:t xml:space="preserve"> </w:t>
      </w:r>
      <w:r w:rsidRPr="00D66629">
        <w:rPr>
          <w:rFonts w:eastAsia="Calibri"/>
          <w:lang w:eastAsia="en-US"/>
        </w:rPr>
        <w:t>lēmumam Nr.</w:t>
      </w:r>
      <w:r w:rsidR="009F44B7">
        <w:rPr>
          <w:rFonts w:eastAsia="Calibri"/>
          <w:lang w:eastAsia="en-US"/>
        </w:rPr>
        <w:t> </w:t>
      </w:r>
      <w:r>
        <w:rPr>
          <w:rFonts w:eastAsia="Calibri"/>
          <w:lang w:eastAsia="en-US"/>
        </w:rPr>
        <w:t>GND/202</w:t>
      </w:r>
      <w:r w:rsidR="00B67279">
        <w:rPr>
          <w:rFonts w:eastAsia="Calibri"/>
          <w:lang w:eastAsia="en-US"/>
        </w:rPr>
        <w:t>6</w:t>
      </w:r>
      <w:r>
        <w:rPr>
          <w:rFonts w:eastAsia="Calibri"/>
          <w:lang w:eastAsia="en-US"/>
        </w:rPr>
        <w:t>/____</w:t>
      </w:r>
    </w:p>
    <w:p w14:paraId="6C3556C6" w14:textId="77777777" w:rsidR="009E52B7" w:rsidRDefault="009E52B7" w:rsidP="009E52B7">
      <w:pPr>
        <w:spacing w:after="160" w:line="259" w:lineRule="auto"/>
        <w:rPr>
          <w:rFonts w:eastAsiaTheme="minorHAnsi"/>
          <w:lang w:eastAsia="en-US"/>
        </w:rPr>
      </w:pPr>
    </w:p>
    <w:p w14:paraId="3E0E7A53" w14:textId="1B81B549" w:rsidR="0075285A" w:rsidRPr="00D66629" w:rsidRDefault="0075285A" w:rsidP="0075285A">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C75F74" w:rsidRPr="00C75F74" w14:paraId="3C471EB2" w14:textId="77777777" w:rsidTr="001B2802">
        <w:tc>
          <w:tcPr>
            <w:tcW w:w="5665" w:type="dxa"/>
          </w:tcPr>
          <w:p w14:paraId="6180EF47" w14:textId="77777777" w:rsidR="00C75F74" w:rsidRPr="00C75F74" w:rsidRDefault="00C75F74" w:rsidP="00C75F74">
            <w:pPr>
              <w:rPr>
                <w:lang w:eastAsia="en-US"/>
              </w:rPr>
            </w:pPr>
            <w:r w:rsidRPr="00C75F74">
              <w:rPr>
                <w:lang w:eastAsia="en-US"/>
              </w:rPr>
              <w:t xml:space="preserve">{{ PIRMEPARDATUMS }}.                       </w:t>
            </w:r>
          </w:p>
        </w:tc>
        <w:tc>
          <w:tcPr>
            <w:tcW w:w="3539" w:type="dxa"/>
          </w:tcPr>
          <w:p w14:paraId="2A686FBB" w14:textId="77777777" w:rsidR="00C75F74" w:rsidRPr="00C75F74" w:rsidRDefault="00C75F74" w:rsidP="00C75F74">
            <w:pPr>
              <w:jc w:val="right"/>
              <w:rPr>
                <w:lang w:eastAsia="en-US"/>
              </w:rPr>
            </w:pPr>
            <w:r w:rsidRPr="00C75F74">
              <w:rPr>
                <w:lang w:eastAsia="en-US"/>
              </w:rPr>
              <w:t>Nr. {{ DOKREGNUMURS }}</w:t>
            </w:r>
          </w:p>
          <w:p w14:paraId="039312DB" w14:textId="77777777" w:rsidR="00C75F74" w:rsidRPr="00C75F74" w:rsidRDefault="00C75F74" w:rsidP="00C75F74">
            <w:pPr>
              <w:jc w:val="right"/>
              <w:rPr>
                <w:lang w:eastAsia="en-US"/>
              </w:rPr>
            </w:pPr>
          </w:p>
        </w:tc>
      </w:tr>
    </w:tbl>
    <w:p w14:paraId="08CDE5CC" w14:textId="77777777" w:rsidR="0075285A" w:rsidRPr="0075285A" w:rsidRDefault="0075285A" w:rsidP="0075285A">
      <w:pPr>
        <w:spacing w:line="259" w:lineRule="auto"/>
        <w:jc w:val="center"/>
        <w:rPr>
          <w:rFonts w:eastAsiaTheme="minorHAnsi"/>
          <w:b/>
          <w:noProof/>
          <w:lang w:eastAsia="en-US"/>
        </w:rPr>
      </w:pPr>
    </w:p>
    <w:p w14:paraId="5DF58A24" w14:textId="03D6BF9D" w:rsidR="0075285A" w:rsidRPr="00CB0370" w:rsidRDefault="0075285A"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r w:rsidR="004F3D8F">
        <w:rPr>
          <w:b/>
          <w:bCs/>
        </w:rPr>
        <w:t>Nr.</w:t>
      </w:r>
      <w:r w:rsidR="009F44B7">
        <w:rPr>
          <w:b/>
          <w:bCs/>
        </w:rPr>
        <w:t> </w:t>
      </w:r>
      <w:r w:rsidR="004F3D8F">
        <w:rPr>
          <w:b/>
          <w:bCs/>
        </w:rPr>
        <w:t>GND/IEK/2022/16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2FC16869" w14:textId="77777777" w:rsidR="005F5498" w:rsidRPr="00CB0370" w:rsidRDefault="005F5498" w:rsidP="00CB38BA">
      <w:pPr>
        <w:jc w:val="center"/>
        <w:rPr>
          <w:rFonts w:eastAsiaTheme="minorHAnsi"/>
          <w:b/>
          <w:noProof/>
          <w:lang w:eastAsia="en-US"/>
        </w:rPr>
      </w:pPr>
    </w:p>
    <w:p w14:paraId="29CF5C1D" w14:textId="77777777" w:rsidR="0075285A" w:rsidRPr="00CB0370" w:rsidRDefault="00DF77BB"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CB38BA">
      <w:pPr>
        <w:ind w:left="5670"/>
        <w:jc w:val="both"/>
        <w:rPr>
          <w:rFonts w:eastAsia="Calibri"/>
          <w:bCs/>
          <w:lang w:eastAsia="en-US"/>
        </w:rPr>
      </w:pPr>
    </w:p>
    <w:p w14:paraId="1BAADAF4" w14:textId="68CF0D63" w:rsidR="00983323" w:rsidRPr="00CB38BA" w:rsidRDefault="00983323" w:rsidP="009F44B7">
      <w:pPr>
        <w:pStyle w:val="Sarakstarindkopa"/>
        <w:numPr>
          <w:ilvl w:val="0"/>
          <w:numId w:val="4"/>
        </w:numPr>
        <w:spacing w:line="312" w:lineRule="auto"/>
        <w:ind w:left="0" w:firstLine="284"/>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2022.gada 30.jūnija iekšējā normatīvajā aktā Nr.</w:t>
      </w:r>
      <w:r w:rsidR="009F44B7">
        <w:t> </w:t>
      </w:r>
      <w:r w:rsidRPr="00CB0370">
        <w:t>GND/IEK/2022/16 “Gulbenes novada pašvaldības amatpersonu un darbinieku atlīdzības nolikums”</w:t>
      </w:r>
      <w:r w:rsidR="00B67279">
        <w:t xml:space="preserve"> </w:t>
      </w:r>
      <w:r w:rsidR="00B67279" w:rsidRPr="00B67279">
        <w:t>(turpmāk –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2022.gada 30.jūnija lēmumu Nr.</w:t>
      </w:r>
      <w:r w:rsidR="009F44B7">
        <w:rPr>
          <w:shd w:val="clear" w:color="auto" w:fill="FFFFFF"/>
        </w:rPr>
        <w:t> </w:t>
      </w:r>
      <w:r w:rsidR="00CB38BA" w:rsidRPr="00CB38BA">
        <w:rPr>
          <w:shd w:val="clear" w:color="auto" w:fill="FFFFFF"/>
        </w:rPr>
        <w:t>GND/2022/639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7ECD016D" w14:textId="209C9176" w:rsidR="009F523E" w:rsidRDefault="009F523E" w:rsidP="00F51F75">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t>1.punkt</w:t>
      </w:r>
      <w:r w:rsidR="00B01132">
        <w:rPr>
          <w:rFonts w:eastAsiaTheme="minorHAnsi"/>
          <w:shd w:val="clear" w:color="auto" w:fill="FFFFFF"/>
          <w:lang w:eastAsia="en-US"/>
        </w:rPr>
        <w:t>ā aiz vārdiem</w:t>
      </w:r>
      <w:r w:rsidR="00D6628D">
        <w:rPr>
          <w:rFonts w:eastAsiaTheme="minorHAnsi"/>
          <w:shd w:val="clear" w:color="auto" w:fill="FFFFFF"/>
          <w:lang w:eastAsia="en-US"/>
        </w:rPr>
        <w:t xml:space="preserve"> un zīmes</w:t>
      </w:r>
      <w:r w:rsidR="00B01132">
        <w:rPr>
          <w:rFonts w:eastAsiaTheme="minorHAnsi"/>
          <w:shd w:val="clear" w:color="auto" w:fill="FFFFFF"/>
          <w:lang w:eastAsia="en-US"/>
        </w:rPr>
        <w:t xml:space="preserve"> “</w:t>
      </w:r>
      <w:r w:rsidR="00B01132" w:rsidRPr="009F523E">
        <w:rPr>
          <w:rFonts w:eastAsiaTheme="minorHAnsi"/>
          <w:shd w:val="clear" w:color="auto" w:fill="FFFFFF"/>
          <w:lang w:eastAsia="en-US"/>
        </w:rPr>
        <w:t>izpilddirektora</w:t>
      </w:r>
      <w:r w:rsidR="00B01132">
        <w:rPr>
          <w:rFonts w:eastAsiaTheme="minorHAnsi"/>
          <w:shd w:val="clear" w:color="auto" w:fill="FFFFFF"/>
          <w:lang w:eastAsia="en-US"/>
        </w:rPr>
        <w:t xml:space="preserve">,” papildināt ar vārdiem </w:t>
      </w:r>
      <w:r w:rsidR="00D6628D">
        <w:rPr>
          <w:rFonts w:eastAsiaTheme="minorHAnsi"/>
          <w:shd w:val="clear" w:color="auto" w:fill="FFFFFF"/>
          <w:lang w:eastAsia="en-US"/>
        </w:rPr>
        <w:t xml:space="preserve">un zīmi </w:t>
      </w:r>
      <w:r w:rsidR="00B01132">
        <w:rPr>
          <w:rFonts w:eastAsiaTheme="minorHAnsi"/>
          <w:shd w:val="clear" w:color="auto" w:fill="FFFFFF"/>
          <w:lang w:eastAsia="en-US"/>
        </w:rPr>
        <w:t>“</w:t>
      </w:r>
      <w:r w:rsidR="00B01132" w:rsidRPr="009F523E">
        <w:rPr>
          <w:rFonts w:eastAsiaTheme="minorHAnsi"/>
          <w:shd w:val="clear" w:color="auto" w:fill="FFFFFF"/>
          <w:lang w:eastAsia="en-US"/>
        </w:rPr>
        <w:t>Pašvaldības izpilddirektora vietnieka,</w:t>
      </w:r>
      <w:r w:rsidR="00B01132">
        <w:rPr>
          <w:rFonts w:eastAsiaTheme="minorHAnsi"/>
          <w:shd w:val="clear" w:color="auto" w:fill="FFFFFF"/>
          <w:lang w:eastAsia="en-US"/>
        </w:rPr>
        <w:t>”</w:t>
      </w:r>
      <w:r w:rsidR="00D6628D">
        <w:rPr>
          <w:rFonts w:eastAsiaTheme="minorHAnsi"/>
          <w:shd w:val="clear" w:color="auto" w:fill="FFFFFF"/>
          <w:lang w:eastAsia="en-US"/>
        </w:rPr>
        <w:t>;</w:t>
      </w:r>
    </w:p>
    <w:p w14:paraId="5ED251CF" w14:textId="72D2FCAA" w:rsidR="00B01132" w:rsidRDefault="00B01132" w:rsidP="00F51F75">
      <w:pPr>
        <w:pStyle w:val="Sarakstarindkopa"/>
        <w:numPr>
          <w:ilvl w:val="1"/>
          <w:numId w:val="5"/>
        </w:numPr>
        <w:spacing w:before="120" w:line="312" w:lineRule="auto"/>
        <w:ind w:left="992" w:hanging="567"/>
        <w:contextualSpacing w:val="0"/>
        <w:rPr>
          <w:rFonts w:eastAsiaTheme="minorHAnsi"/>
          <w:shd w:val="clear" w:color="auto" w:fill="FFFFFF"/>
          <w:lang w:eastAsia="en-US"/>
        </w:rPr>
      </w:pPr>
      <w:r w:rsidRPr="00B01132">
        <w:rPr>
          <w:rFonts w:eastAsiaTheme="minorHAnsi"/>
          <w:shd w:val="clear" w:color="auto" w:fill="FFFFFF"/>
          <w:lang w:eastAsia="en-US"/>
        </w:rPr>
        <w:t xml:space="preserve">izteikt </w:t>
      </w:r>
      <w:r>
        <w:rPr>
          <w:rFonts w:eastAsiaTheme="minorHAnsi"/>
          <w:shd w:val="clear" w:color="auto" w:fill="FFFFFF"/>
          <w:lang w:eastAsia="en-US"/>
        </w:rPr>
        <w:t>I</w:t>
      </w:r>
      <w:r w:rsidRPr="00B01132">
        <w:rPr>
          <w:rFonts w:eastAsiaTheme="minorHAnsi"/>
          <w:shd w:val="clear" w:color="auto" w:fill="FFFFFF"/>
          <w:lang w:eastAsia="en-US"/>
        </w:rPr>
        <w:t>V. nodaļas nosaukumu šādā redakcijā</w:t>
      </w:r>
      <w:r>
        <w:rPr>
          <w:rFonts w:eastAsiaTheme="minorHAnsi"/>
          <w:shd w:val="clear" w:color="auto" w:fill="FFFFFF"/>
          <w:lang w:eastAsia="en-US"/>
        </w:rPr>
        <w:t>:</w:t>
      </w:r>
    </w:p>
    <w:p w14:paraId="37FF0C57" w14:textId="59B8A87C" w:rsidR="009F523E" w:rsidRPr="009F523E" w:rsidRDefault="009F523E" w:rsidP="00F51F75">
      <w:pPr>
        <w:spacing w:before="120" w:line="312" w:lineRule="auto"/>
        <w:ind w:firstLine="426"/>
        <w:rPr>
          <w:rFonts w:eastAsiaTheme="minorHAnsi"/>
          <w:shd w:val="clear" w:color="auto" w:fill="FFFFFF"/>
          <w:lang w:eastAsia="en-US"/>
        </w:rPr>
      </w:pPr>
      <w:r>
        <w:rPr>
          <w:rFonts w:eastAsiaTheme="minorHAnsi"/>
          <w:shd w:val="clear" w:color="auto" w:fill="FFFFFF"/>
          <w:lang w:eastAsia="en-US"/>
        </w:rPr>
        <w:t>“</w:t>
      </w:r>
      <w:r w:rsidRPr="009F523E">
        <w:rPr>
          <w:rFonts w:eastAsiaTheme="minorHAnsi"/>
          <w:shd w:val="clear" w:color="auto" w:fill="FFFFFF"/>
          <w:lang w:eastAsia="en-US"/>
        </w:rPr>
        <w:t>IV.</w:t>
      </w:r>
      <w:r>
        <w:rPr>
          <w:rFonts w:eastAsiaTheme="minorHAnsi"/>
          <w:shd w:val="clear" w:color="auto" w:fill="FFFFFF"/>
          <w:lang w:eastAsia="en-US"/>
        </w:rPr>
        <w:t xml:space="preserve"> </w:t>
      </w:r>
      <w:r w:rsidRPr="009F523E">
        <w:rPr>
          <w:rFonts w:eastAsiaTheme="minorHAnsi"/>
          <w:shd w:val="clear" w:color="auto" w:fill="FFFFFF"/>
          <w:lang w:eastAsia="en-US"/>
        </w:rPr>
        <w:t>Pašvaldības izpilddirektora un Pašvaldības izpilddirektora vietnieka darba samaksas kārtība</w:t>
      </w:r>
      <w:r w:rsidR="00B01132">
        <w:rPr>
          <w:rFonts w:eastAsiaTheme="minorHAnsi"/>
          <w:shd w:val="clear" w:color="auto" w:fill="FFFFFF"/>
          <w:lang w:eastAsia="en-US"/>
        </w:rPr>
        <w:t>”</w:t>
      </w:r>
      <w:r w:rsidR="00D6628D">
        <w:rPr>
          <w:rFonts w:eastAsiaTheme="minorHAnsi"/>
          <w:shd w:val="clear" w:color="auto" w:fill="FFFFFF"/>
          <w:lang w:eastAsia="en-US"/>
        </w:rPr>
        <w:t>;</w:t>
      </w:r>
    </w:p>
    <w:p w14:paraId="6E820D1C" w14:textId="3D50BB61" w:rsidR="00B01132" w:rsidRDefault="00B01132"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24.punktā aiz vārdiem “</w:t>
      </w:r>
      <w:r w:rsidRPr="00F655DF">
        <w:t>izpilddirektoram</w:t>
      </w:r>
      <w:r>
        <w:rPr>
          <w:rFonts w:eastAsiaTheme="minorHAnsi"/>
          <w:shd w:val="clear" w:color="auto" w:fill="FFFFFF"/>
          <w:lang w:eastAsia="en-US"/>
        </w:rPr>
        <w:t>” papildināt ar vārdiem “</w:t>
      </w:r>
      <w:r w:rsidRPr="00B01132">
        <w:rPr>
          <w:rFonts w:eastAsiaTheme="minorHAnsi"/>
          <w:shd w:val="clear" w:color="auto" w:fill="FFFFFF"/>
          <w:lang w:eastAsia="en-US"/>
        </w:rPr>
        <w:t>un Pašvaldības izpilddirektora vietniekam</w:t>
      </w:r>
      <w:r>
        <w:rPr>
          <w:rFonts w:eastAsiaTheme="minorHAnsi"/>
          <w:shd w:val="clear" w:color="auto" w:fill="FFFFFF"/>
          <w:lang w:eastAsia="en-US"/>
        </w:rPr>
        <w:t>”</w:t>
      </w:r>
      <w:r w:rsidR="00D6628D">
        <w:rPr>
          <w:rFonts w:eastAsiaTheme="minorHAnsi"/>
          <w:shd w:val="clear" w:color="auto" w:fill="FFFFFF"/>
          <w:lang w:eastAsia="en-US"/>
        </w:rPr>
        <w:t>;</w:t>
      </w:r>
    </w:p>
    <w:p w14:paraId="636286A9" w14:textId="482C5AAE" w:rsidR="00B01132" w:rsidRDefault="00B01132" w:rsidP="00F51F75">
      <w:pPr>
        <w:pStyle w:val="Sarakstarindkopa"/>
        <w:numPr>
          <w:ilvl w:val="1"/>
          <w:numId w:val="5"/>
        </w:numPr>
        <w:tabs>
          <w:tab w:val="left" w:pos="993"/>
        </w:tabs>
        <w:spacing w:before="120" w:line="312" w:lineRule="auto"/>
        <w:ind w:left="0" w:firstLine="426"/>
        <w:contextualSpacing w:val="0"/>
        <w:rPr>
          <w:rFonts w:eastAsiaTheme="minorHAnsi"/>
          <w:shd w:val="clear" w:color="auto" w:fill="FFFFFF"/>
          <w:lang w:eastAsia="en-US"/>
        </w:rPr>
      </w:pPr>
      <w:r w:rsidRPr="00B01132">
        <w:rPr>
          <w:rFonts w:eastAsiaTheme="minorHAnsi"/>
          <w:shd w:val="clear" w:color="auto" w:fill="FFFFFF"/>
          <w:lang w:eastAsia="en-US"/>
        </w:rPr>
        <w:t>2</w:t>
      </w:r>
      <w:r>
        <w:rPr>
          <w:rFonts w:eastAsiaTheme="minorHAnsi"/>
          <w:shd w:val="clear" w:color="auto" w:fill="FFFFFF"/>
          <w:lang w:eastAsia="en-US"/>
        </w:rPr>
        <w:t>5</w:t>
      </w:r>
      <w:r w:rsidRPr="00B01132">
        <w:rPr>
          <w:rFonts w:eastAsiaTheme="minorHAnsi"/>
          <w:shd w:val="clear" w:color="auto" w:fill="FFFFFF"/>
          <w:lang w:eastAsia="en-US"/>
        </w:rPr>
        <w:t>.punktā aiz vārdiem “izpilddirektoram” papildināt ar vārdiem “un Pašvaldības izpilddirektora vietniekam”</w:t>
      </w:r>
      <w:r w:rsidR="00D6628D">
        <w:rPr>
          <w:rFonts w:eastAsiaTheme="minorHAnsi"/>
          <w:shd w:val="clear" w:color="auto" w:fill="FFFFFF"/>
          <w:lang w:eastAsia="en-US"/>
        </w:rPr>
        <w:t>;</w:t>
      </w:r>
    </w:p>
    <w:p w14:paraId="615933CF" w14:textId="4D581665" w:rsidR="00B01132" w:rsidRDefault="00B01132"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25.</w:t>
      </w:r>
      <w:r w:rsidRPr="00B01132">
        <w:rPr>
          <w:rFonts w:eastAsiaTheme="minorHAnsi"/>
          <w:shd w:val="clear" w:color="auto" w:fill="FFFFFF"/>
          <w:vertAlign w:val="superscript"/>
          <w:lang w:eastAsia="en-US"/>
        </w:rPr>
        <w:t>1</w:t>
      </w:r>
      <w:r>
        <w:rPr>
          <w:rFonts w:eastAsiaTheme="minorHAnsi"/>
          <w:shd w:val="clear" w:color="auto" w:fill="FFFFFF"/>
          <w:lang w:eastAsia="en-US"/>
        </w:rPr>
        <w:t xml:space="preserve"> punktā aiz vārdiem “</w:t>
      </w:r>
      <w:r w:rsidRPr="00F655DF">
        <w:t>izpilddirektoram</w:t>
      </w:r>
      <w:r>
        <w:rPr>
          <w:rFonts w:eastAsiaTheme="minorHAnsi"/>
          <w:shd w:val="clear" w:color="auto" w:fill="FFFFFF"/>
          <w:lang w:eastAsia="en-US"/>
        </w:rPr>
        <w:t>” papildināt ar vārdiem “</w:t>
      </w:r>
      <w:r w:rsidRPr="00B01132">
        <w:rPr>
          <w:rFonts w:eastAsiaTheme="minorHAnsi"/>
          <w:shd w:val="clear" w:color="auto" w:fill="FFFFFF"/>
          <w:lang w:eastAsia="en-US"/>
        </w:rPr>
        <w:t>un Pašvaldības izpilddirektora vietniekam</w:t>
      </w:r>
      <w:r>
        <w:rPr>
          <w:rFonts w:eastAsiaTheme="minorHAnsi"/>
          <w:shd w:val="clear" w:color="auto" w:fill="FFFFFF"/>
          <w:lang w:eastAsia="en-US"/>
        </w:rPr>
        <w:t>”</w:t>
      </w:r>
      <w:r w:rsidR="00D6628D">
        <w:rPr>
          <w:rFonts w:eastAsiaTheme="minorHAnsi"/>
          <w:shd w:val="clear" w:color="auto" w:fill="FFFFFF"/>
          <w:lang w:eastAsia="en-US"/>
        </w:rPr>
        <w:t>;</w:t>
      </w:r>
    </w:p>
    <w:p w14:paraId="06140F5C" w14:textId="4AB02755" w:rsidR="00B01132" w:rsidRDefault="00B01132"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sidRPr="00B01132">
        <w:rPr>
          <w:rFonts w:eastAsiaTheme="minorHAnsi"/>
          <w:shd w:val="clear" w:color="auto" w:fill="FFFFFF"/>
          <w:lang w:eastAsia="en-US"/>
        </w:rPr>
        <w:lastRenderedPageBreak/>
        <w:t>54.1.apakšpunkt</w:t>
      </w:r>
      <w:r>
        <w:rPr>
          <w:rFonts w:eastAsiaTheme="minorHAnsi"/>
          <w:shd w:val="clear" w:color="auto" w:fill="FFFFFF"/>
          <w:lang w:eastAsia="en-US"/>
        </w:rPr>
        <w:t>ā</w:t>
      </w:r>
      <w:r w:rsidRPr="00B01132">
        <w:rPr>
          <w:rFonts w:eastAsiaTheme="minorHAnsi"/>
          <w:shd w:val="clear" w:color="auto" w:fill="FFFFFF"/>
          <w:lang w:eastAsia="en-US"/>
        </w:rPr>
        <w:t xml:space="preserve"> </w:t>
      </w:r>
      <w:r>
        <w:rPr>
          <w:rFonts w:eastAsiaTheme="minorHAnsi"/>
          <w:shd w:val="clear" w:color="auto" w:fill="FFFFFF"/>
          <w:lang w:eastAsia="en-US"/>
        </w:rPr>
        <w:t>aiz vārdiem “</w:t>
      </w:r>
      <w:r w:rsidRPr="00F655DF">
        <w:t>izpilddirektora</w:t>
      </w:r>
      <w:r>
        <w:rPr>
          <w:rFonts w:eastAsiaTheme="minorHAnsi"/>
          <w:shd w:val="clear" w:color="auto" w:fill="FFFFFF"/>
          <w:lang w:eastAsia="en-US"/>
        </w:rPr>
        <w:t>” papildināt ar vārdiem “</w:t>
      </w:r>
      <w:r w:rsidRPr="00B01132">
        <w:rPr>
          <w:rFonts w:eastAsiaTheme="minorHAnsi"/>
          <w:shd w:val="clear" w:color="auto" w:fill="FFFFFF"/>
          <w:lang w:eastAsia="en-US"/>
        </w:rPr>
        <w:t>un Pašvaldības izpilddirektora vietnieka</w:t>
      </w:r>
      <w:r>
        <w:rPr>
          <w:rFonts w:eastAsiaTheme="minorHAnsi"/>
          <w:shd w:val="clear" w:color="auto" w:fill="FFFFFF"/>
          <w:lang w:eastAsia="en-US"/>
        </w:rPr>
        <w:t>”</w:t>
      </w:r>
      <w:r w:rsidR="00D6628D">
        <w:rPr>
          <w:rFonts w:eastAsiaTheme="minorHAnsi"/>
          <w:shd w:val="clear" w:color="auto" w:fill="FFFFFF"/>
          <w:lang w:eastAsia="en-US"/>
        </w:rPr>
        <w:t>;</w:t>
      </w:r>
    </w:p>
    <w:p w14:paraId="443D6AF9" w14:textId="6EB21C07" w:rsidR="00B01132" w:rsidRPr="00B01132" w:rsidRDefault="00B01132"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sidRPr="00B01132">
        <w:rPr>
          <w:rFonts w:eastAsiaTheme="minorHAnsi"/>
          <w:shd w:val="clear" w:color="auto" w:fill="FFFFFF"/>
          <w:lang w:eastAsia="en-US"/>
        </w:rPr>
        <w:t>98.2.1.apakšpunkt</w:t>
      </w:r>
      <w:r>
        <w:rPr>
          <w:rFonts w:eastAsiaTheme="minorHAnsi"/>
          <w:shd w:val="clear" w:color="auto" w:fill="FFFFFF"/>
          <w:lang w:eastAsia="en-US"/>
        </w:rPr>
        <w:t>ā</w:t>
      </w:r>
      <w:r w:rsidRPr="00B01132">
        <w:rPr>
          <w:rFonts w:eastAsiaTheme="minorHAnsi"/>
          <w:shd w:val="clear" w:color="auto" w:fill="FFFFFF"/>
          <w:lang w:eastAsia="en-US"/>
        </w:rPr>
        <w:t xml:space="preserve"> aiz vārdiem</w:t>
      </w:r>
      <w:r w:rsidR="00D6628D">
        <w:rPr>
          <w:rFonts w:eastAsiaTheme="minorHAnsi"/>
          <w:shd w:val="clear" w:color="auto" w:fill="FFFFFF"/>
          <w:lang w:eastAsia="en-US"/>
        </w:rPr>
        <w:t xml:space="preserve"> un zīmes</w:t>
      </w:r>
      <w:r w:rsidRPr="00B01132">
        <w:rPr>
          <w:rFonts w:eastAsiaTheme="minorHAnsi"/>
          <w:shd w:val="clear" w:color="auto" w:fill="FFFFFF"/>
          <w:lang w:eastAsia="en-US"/>
        </w:rPr>
        <w:t xml:space="preserve"> “</w:t>
      </w:r>
      <w:r>
        <w:t>izpilddirektoram,</w:t>
      </w:r>
      <w:r w:rsidRPr="00B01132">
        <w:rPr>
          <w:rFonts w:eastAsiaTheme="minorHAnsi"/>
          <w:shd w:val="clear" w:color="auto" w:fill="FFFFFF"/>
          <w:lang w:eastAsia="en-US"/>
        </w:rPr>
        <w:t>” papildināt ar vārdiem “Pašvaldības izpilddirektora vietniekam”.</w:t>
      </w:r>
    </w:p>
    <w:p w14:paraId="79CBF90D" w14:textId="1E34406F" w:rsidR="00CB38BA" w:rsidRPr="009F44B7" w:rsidRDefault="00CB38BA" w:rsidP="00F51F75">
      <w:pPr>
        <w:pStyle w:val="Sarakstarindkopa"/>
        <w:numPr>
          <w:ilvl w:val="0"/>
          <w:numId w:val="4"/>
        </w:numPr>
        <w:spacing w:before="120" w:after="160" w:line="312" w:lineRule="auto"/>
        <w:ind w:left="721" w:hanging="437"/>
        <w:contextualSpacing w:val="0"/>
        <w:jc w:val="both"/>
        <w:rPr>
          <w:rFonts w:eastAsia="Calibri"/>
          <w:lang w:eastAsia="en-US"/>
        </w:rPr>
      </w:pPr>
      <w:r w:rsidRPr="009F44B7">
        <w:rPr>
          <w:rFonts w:eastAsia="Calibri"/>
          <w:lang w:eastAsia="en-US"/>
        </w:rPr>
        <w:t>Grozījum</w:t>
      </w:r>
      <w:r w:rsidR="00FE5AEE" w:rsidRPr="009F44B7">
        <w:rPr>
          <w:rFonts w:eastAsia="Calibri"/>
          <w:lang w:eastAsia="en-US"/>
        </w:rPr>
        <w:t>i</w:t>
      </w:r>
      <w:r w:rsidRPr="009F44B7">
        <w:rPr>
          <w:rFonts w:eastAsia="Calibri"/>
          <w:lang w:eastAsia="en-US"/>
        </w:rPr>
        <w:t xml:space="preserve"> stājas spēkā 202</w:t>
      </w:r>
      <w:r w:rsidR="00303CF8" w:rsidRPr="009F44B7">
        <w:rPr>
          <w:rFonts w:eastAsia="Calibri"/>
          <w:lang w:eastAsia="en-US"/>
        </w:rPr>
        <w:t>6</w:t>
      </w:r>
      <w:r w:rsidRPr="009F44B7">
        <w:rPr>
          <w:rFonts w:eastAsia="Calibri"/>
          <w:lang w:eastAsia="en-US"/>
        </w:rPr>
        <w:t>.gada 1</w:t>
      </w:r>
      <w:r w:rsidR="00745DF2">
        <w:rPr>
          <w:rFonts w:eastAsia="Calibri"/>
          <w:lang w:eastAsia="en-US"/>
        </w:rPr>
        <w:t>8 jūnijā</w:t>
      </w:r>
      <w:r w:rsidRPr="009F44B7">
        <w:rPr>
          <w:rFonts w:eastAsia="Calibri"/>
          <w:lang w:eastAsia="en-US"/>
        </w:rPr>
        <w:t>.</w:t>
      </w:r>
    </w:p>
    <w:p w14:paraId="7607A04E" w14:textId="77777777" w:rsidR="007B6AF7" w:rsidRPr="007B6AF7" w:rsidRDefault="007B6AF7" w:rsidP="009F44B7">
      <w:pPr>
        <w:pStyle w:val="Sarakstarindkopa"/>
        <w:tabs>
          <w:tab w:val="left" w:pos="851"/>
        </w:tabs>
        <w:spacing w:after="120" w:line="312" w:lineRule="auto"/>
        <w:ind w:left="360"/>
        <w:jc w:val="both"/>
        <w:rPr>
          <w:rFonts w:eastAsiaTheme="minorHAnsi"/>
          <w:highlight w:val="yellow"/>
          <w:shd w:val="clear" w:color="auto" w:fill="FFFFFF"/>
          <w:lang w:eastAsia="en-US"/>
        </w:rPr>
      </w:pPr>
    </w:p>
    <w:p w14:paraId="513F89E4" w14:textId="63A33379" w:rsidR="006218DC" w:rsidRPr="0075285A" w:rsidRDefault="0075285A" w:rsidP="009F44B7">
      <w:pPr>
        <w:spacing w:after="160" w:line="312"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303CF8">
        <w:rPr>
          <w:rFonts w:eastAsiaTheme="minorHAnsi"/>
          <w:lang w:eastAsia="en-US"/>
        </w:rPr>
        <w:t>N.Mazūrs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A678C"/>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300CE9"/>
    <w:multiLevelType w:val="hybridMultilevel"/>
    <w:tmpl w:val="2AB24C2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6EAD312E"/>
    <w:multiLevelType w:val="hybridMultilevel"/>
    <w:tmpl w:val="159C7AD4"/>
    <w:lvl w:ilvl="0" w:tplc="0426000F">
      <w:start w:val="1"/>
      <w:numFmt w:val="decimal"/>
      <w:lvlText w:val="%1."/>
      <w:lvlJc w:val="left"/>
      <w:pPr>
        <w:ind w:left="786"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4"/>
  </w:num>
  <w:num w:numId="9" w16cid:durableId="468715517">
    <w:abstractNumId w:val="2"/>
  </w:num>
  <w:num w:numId="10" w16cid:durableId="1722557318">
    <w:abstractNumId w:val="8"/>
  </w:num>
  <w:num w:numId="11" w16cid:durableId="694961301">
    <w:abstractNumId w:val="13"/>
  </w:num>
  <w:num w:numId="12" w16cid:durableId="580063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10"/>
  </w:num>
  <w:num w:numId="14" w16cid:durableId="56460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4046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66F2"/>
    <w:rsid w:val="00085679"/>
    <w:rsid w:val="000A4C9A"/>
    <w:rsid w:val="000C5292"/>
    <w:rsid w:val="000D7567"/>
    <w:rsid w:val="0010585C"/>
    <w:rsid w:val="00116E51"/>
    <w:rsid w:val="00120EBE"/>
    <w:rsid w:val="00125C2A"/>
    <w:rsid w:val="0015153E"/>
    <w:rsid w:val="001538FA"/>
    <w:rsid w:val="00177244"/>
    <w:rsid w:val="00186D72"/>
    <w:rsid w:val="001934A5"/>
    <w:rsid w:val="001C2C27"/>
    <w:rsid w:val="001E1875"/>
    <w:rsid w:val="00230819"/>
    <w:rsid w:val="0024486B"/>
    <w:rsid w:val="00256A24"/>
    <w:rsid w:val="00262D50"/>
    <w:rsid w:val="002748ED"/>
    <w:rsid w:val="00296802"/>
    <w:rsid w:val="002B248C"/>
    <w:rsid w:val="002B39BB"/>
    <w:rsid w:val="002D2203"/>
    <w:rsid w:val="002D5081"/>
    <w:rsid w:val="002E5806"/>
    <w:rsid w:val="002F600F"/>
    <w:rsid w:val="00303CF8"/>
    <w:rsid w:val="00324496"/>
    <w:rsid w:val="0035538E"/>
    <w:rsid w:val="003614A5"/>
    <w:rsid w:val="00361D2E"/>
    <w:rsid w:val="003753CA"/>
    <w:rsid w:val="003828D6"/>
    <w:rsid w:val="003C266F"/>
    <w:rsid w:val="003C76B3"/>
    <w:rsid w:val="003E2ABF"/>
    <w:rsid w:val="003E72E5"/>
    <w:rsid w:val="00405F03"/>
    <w:rsid w:val="00423817"/>
    <w:rsid w:val="00452706"/>
    <w:rsid w:val="0048043E"/>
    <w:rsid w:val="004D2E65"/>
    <w:rsid w:val="004D7344"/>
    <w:rsid w:val="004F3D8F"/>
    <w:rsid w:val="00501993"/>
    <w:rsid w:val="00515D49"/>
    <w:rsid w:val="00535B24"/>
    <w:rsid w:val="005507AE"/>
    <w:rsid w:val="005632C3"/>
    <w:rsid w:val="00563C55"/>
    <w:rsid w:val="00565663"/>
    <w:rsid w:val="005671B6"/>
    <w:rsid w:val="005762B5"/>
    <w:rsid w:val="00583F69"/>
    <w:rsid w:val="005874E4"/>
    <w:rsid w:val="005A67A1"/>
    <w:rsid w:val="005C0288"/>
    <w:rsid w:val="005D1A9D"/>
    <w:rsid w:val="005D2BA7"/>
    <w:rsid w:val="005F5498"/>
    <w:rsid w:val="005F76F6"/>
    <w:rsid w:val="006218BC"/>
    <w:rsid w:val="006218DC"/>
    <w:rsid w:val="006C05FB"/>
    <w:rsid w:val="006C2023"/>
    <w:rsid w:val="006E0E55"/>
    <w:rsid w:val="006F044C"/>
    <w:rsid w:val="00745DF2"/>
    <w:rsid w:val="0075285A"/>
    <w:rsid w:val="00755FFF"/>
    <w:rsid w:val="007858CC"/>
    <w:rsid w:val="007B6142"/>
    <w:rsid w:val="007B6AF7"/>
    <w:rsid w:val="007C4FA0"/>
    <w:rsid w:val="007D6D57"/>
    <w:rsid w:val="007F51DE"/>
    <w:rsid w:val="008025C6"/>
    <w:rsid w:val="00807FAE"/>
    <w:rsid w:val="00843687"/>
    <w:rsid w:val="0084448D"/>
    <w:rsid w:val="00865F1D"/>
    <w:rsid w:val="00877C37"/>
    <w:rsid w:val="00881BFD"/>
    <w:rsid w:val="008A0268"/>
    <w:rsid w:val="008B6BFB"/>
    <w:rsid w:val="008C1509"/>
    <w:rsid w:val="008F2E86"/>
    <w:rsid w:val="009016C0"/>
    <w:rsid w:val="00907886"/>
    <w:rsid w:val="00934A74"/>
    <w:rsid w:val="009509A8"/>
    <w:rsid w:val="00956F45"/>
    <w:rsid w:val="00957AE9"/>
    <w:rsid w:val="00962D87"/>
    <w:rsid w:val="00977B5E"/>
    <w:rsid w:val="00983323"/>
    <w:rsid w:val="0099483F"/>
    <w:rsid w:val="009974EC"/>
    <w:rsid w:val="009A026C"/>
    <w:rsid w:val="009D4602"/>
    <w:rsid w:val="009E1A3E"/>
    <w:rsid w:val="009E52B7"/>
    <w:rsid w:val="009F44B7"/>
    <w:rsid w:val="009F523E"/>
    <w:rsid w:val="00A070AB"/>
    <w:rsid w:val="00A212DA"/>
    <w:rsid w:val="00A21AD0"/>
    <w:rsid w:val="00A237EF"/>
    <w:rsid w:val="00A32586"/>
    <w:rsid w:val="00A64A1F"/>
    <w:rsid w:val="00A74479"/>
    <w:rsid w:val="00A86922"/>
    <w:rsid w:val="00A9404A"/>
    <w:rsid w:val="00AA090A"/>
    <w:rsid w:val="00AA2C5D"/>
    <w:rsid w:val="00AA50A4"/>
    <w:rsid w:val="00AC11A2"/>
    <w:rsid w:val="00AE2E5B"/>
    <w:rsid w:val="00AE3AE2"/>
    <w:rsid w:val="00AF20F1"/>
    <w:rsid w:val="00B01132"/>
    <w:rsid w:val="00B13126"/>
    <w:rsid w:val="00B2092A"/>
    <w:rsid w:val="00B22CBA"/>
    <w:rsid w:val="00B67279"/>
    <w:rsid w:val="00B83471"/>
    <w:rsid w:val="00B8572A"/>
    <w:rsid w:val="00BE489F"/>
    <w:rsid w:val="00C4489A"/>
    <w:rsid w:val="00C466B6"/>
    <w:rsid w:val="00C51719"/>
    <w:rsid w:val="00C75F74"/>
    <w:rsid w:val="00C807AF"/>
    <w:rsid w:val="00C82E8B"/>
    <w:rsid w:val="00CA1A43"/>
    <w:rsid w:val="00CB0370"/>
    <w:rsid w:val="00CB35D7"/>
    <w:rsid w:val="00CB38BA"/>
    <w:rsid w:val="00CB4A90"/>
    <w:rsid w:val="00CC29B2"/>
    <w:rsid w:val="00CF63F5"/>
    <w:rsid w:val="00D040DE"/>
    <w:rsid w:val="00D066F5"/>
    <w:rsid w:val="00D20245"/>
    <w:rsid w:val="00D2335F"/>
    <w:rsid w:val="00D3298C"/>
    <w:rsid w:val="00D4358E"/>
    <w:rsid w:val="00D51D84"/>
    <w:rsid w:val="00D6628D"/>
    <w:rsid w:val="00D66629"/>
    <w:rsid w:val="00D818A3"/>
    <w:rsid w:val="00D918B8"/>
    <w:rsid w:val="00DA5A37"/>
    <w:rsid w:val="00DD3F27"/>
    <w:rsid w:val="00DE6E21"/>
    <w:rsid w:val="00DF77BB"/>
    <w:rsid w:val="00E633D4"/>
    <w:rsid w:val="00E80FE7"/>
    <w:rsid w:val="00EA08C2"/>
    <w:rsid w:val="00ED4BF1"/>
    <w:rsid w:val="00ED7E3A"/>
    <w:rsid w:val="00EE18BB"/>
    <w:rsid w:val="00F05AED"/>
    <w:rsid w:val="00F21D09"/>
    <w:rsid w:val="00F27C18"/>
    <w:rsid w:val="00F35B6A"/>
    <w:rsid w:val="00F40B99"/>
    <w:rsid w:val="00F460BA"/>
    <w:rsid w:val="00F51F75"/>
    <w:rsid w:val="00F70F50"/>
    <w:rsid w:val="00F91F97"/>
    <w:rsid w:val="00F97194"/>
    <w:rsid w:val="00FB0399"/>
    <w:rsid w:val="00FD6505"/>
    <w:rsid w:val="00FE59AF"/>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2533</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Sanita Mickeviča</cp:lastModifiedBy>
  <cp:revision>12</cp:revision>
  <cp:lastPrinted>2023-02-27T06:55:00Z</cp:lastPrinted>
  <dcterms:created xsi:type="dcterms:W3CDTF">2026-02-11T13:30:00Z</dcterms:created>
  <dcterms:modified xsi:type="dcterms:W3CDTF">2026-06-11T11:11:00Z</dcterms:modified>
</cp:coreProperties>
</file>