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C01DE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01DED" w:rsidRPr="00C01DED" w14:paraId="0599C7E7" w14:textId="77777777" w:rsidTr="00A43F3C">
        <w:trPr>
          <w:jc w:val="center"/>
        </w:trPr>
        <w:tc>
          <w:tcPr>
            <w:tcW w:w="9354" w:type="dxa"/>
          </w:tcPr>
          <w:p w14:paraId="68F1215C" w14:textId="77777777" w:rsidR="00704E82" w:rsidRPr="00C01DED" w:rsidRDefault="00704E82" w:rsidP="00F0532A">
            <w:pPr>
              <w:jc w:val="center"/>
            </w:pPr>
            <w:r w:rsidRPr="00C01DE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01DED" w:rsidRPr="00C01DED" w14:paraId="6742A8A3" w14:textId="77777777" w:rsidTr="00A43F3C">
        <w:trPr>
          <w:jc w:val="center"/>
        </w:trPr>
        <w:tc>
          <w:tcPr>
            <w:tcW w:w="9354" w:type="dxa"/>
          </w:tcPr>
          <w:p w14:paraId="77969798" w14:textId="77777777" w:rsidR="00704E82" w:rsidRPr="00C01DED" w:rsidRDefault="00704E82" w:rsidP="00F0532A">
            <w:pPr>
              <w:jc w:val="center"/>
            </w:pPr>
            <w:r w:rsidRPr="00C01DED">
              <w:rPr>
                <w:rFonts w:ascii="Times New Roman" w:hAnsi="Times New Roman" w:cs="Times New Roman"/>
                <w:b/>
                <w:bCs/>
                <w:sz w:val="28"/>
                <w:szCs w:val="28"/>
              </w:rPr>
              <w:t>GULBENES NOVADA PAŠVALDĪBA</w:t>
            </w:r>
          </w:p>
        </w:tc>
      </w:tr>
      <w:tr w:rsidR="00C01DED" w:rsidRPr="00C01DED" w14:paraId="267DE457" w14:textId="77777777" w:rsidTr="00A43F3C">
        <w:trPr>
          <w:jc w:val="center"/>
        </w:trPr>
        <w:tc>
          <w:tcPr>
            <w:tcW w:w="9354" w:type="dxa"/>
          </w:tcPr>
          <w:p w14:paraId="034C7053" w14:textId="77777777" w:rsidR="00704E82" w:rsidRPr="00C01DED" w:rsidRDefault="00704E82" w:rsidP="00F0532A">
            <w:pPr>
              <w:jc w:val="center"/>
            </w:pPr>
            <w:r w:rsidRPr="00C01DED">
              <w:rPr>
                <w:rFonts w:ascii="Times New Roman" w:hAnsi="Times New Roman" w:cs="Times New Roman"/>
                <w:sz w:val="24"/>
                <w:szCs w:val="24"/>
              </w:rPr>
              <w:t>Reģ.Nr.90009116327</w:t>
            </w:r>
          </w:p>
        </w:tc>
      </w:tr>
      <w:tr w:rsidR="00C01DED" w:rsidRPr="00C01DED" w14:paraId="0D52E7E9" w14:textId="77777777" w:rsidTr="00A43F3C">
        <w:trPr>
          <w:jc w:val="center"/>
        </w:trPr>
        <w:tc>
          <w:tcPr>
            <w:tcW w:w="9354" w:type="dxa"/>
          </w:tcPr>
          <w:p w14:paraId="46AD9C53" w14:textId="77777777" w:rsidR="00704E82" w:rsidRPr="00C01DED" w:rsidRDefault="00704E82" w:rsidP="00F0532A">
            <w:pPr>
              <w:jc w:val="center"/>
            </w:pPr>
            <w:r w:rsidRPr="00C01DED">
              <w:rPr>
                <w:rFonts w:ascii="Times New Roman" w:hAnsi="Times New Roman" w:cs="Times New Roman"/>
                <w:sz w:val="24"/>
                <w:szCs w:val="24"/>
              </w:rPr>
              <w:t>Ābeļu iela 2, Gulbene, Gulbenes nov., LV-4401</w:t>
            </w:r>
          </w:p>
        </w:tc>
      </w:tr>
      <w:tr w:rsidR="00C01DED" w:rsidRPr="00C01DED" w14:paraId="0E6073DD" w14:textId="77777777" w:rsidTr="00A43F3C">
        <w:trPr>
          <w:jc w:val="center"/>
        </w:trPr>
        <w:tc>
          <w:tcPr>
            <w:tcW w:w="9354" w:type="dxa"/>
          </w:tcPr>
          <w:p w14:paraId="40977B42" w14:textId="77777777" w:rsidR="00704E82" w:rsidRPr="00C01DED" w:rsidRDefault="00704E82" w:rsidP="0015260A">
            <w:pPr>
              <w:jc w:val="center"/>
            </w:pPr>
            <w:r w:rsidRPr="00C01DED">
              <w:rPr>
                <w:rFonts w:ascii="Times New Roman" w:hAnsi="Times New Roman" w:cs="Times New Roman"/>
                <w:sz w:val="24"/>
                <w:szCs w:val="24"/>
              </w:rPr>
              <w:t>Tālrunis 64497710, mob.26595362, e-pasts</w:t>
            </w:r>
            <w:r w:rsidR="000D17F5" w:rsidRPr="00C01DED">
              <w:rPr>
                <w:rFonts w:ascii="Times New Roman" w:hAnsi="Times New Roman" w:cs="Times New Roman"/>
                <w:sz w:val="24"/>
                <w:szCs w:val="24"/>
              </w:rPr>
              <w:t>:</w:t>
            </w:r>
            <w:r w:rsidRPr="00C01DED">
              <w:rPr>
                <w:rFonts w:ascii="Times New Roman" w:hAnsi="Times New Roman" w:cs="Times New Roman"/>
                <w:sz w:val="24"/>
                <w:szCs w:val="24"/>
              </w:rPr>
              <w:t xml:space="preserve"> dome@gulbene.lv, www.gulbene.lv</w:t>
            </w:r>
          </w:p>
        </w:tc>
      </w:tr>
    </w:tbl>
    <w:p w14:paraId="25499371" w14:textId="039A1D36" w:rsidR="00704E82" w:rsidRPr="00C01DED" w:rsidRDefault="00704E82" w:rsidP="0015260A">
      <w:pPr>
        <w:pStyle w:val="Bezatstarpm"/>
        <w:jc w:val="center"/>
        <w:rPr>
          <w:rFonts w:ascii="Times New Roman" w:hAnsi="Times New Roman" w:cs="Times New Roman"/>
          <w:b/>
          <w:bCs/>
          <w:sz w:val="24"/>
          <w:szCs w:val="24"/>
        </w:rPr>
      </w:pPr>
      <w:r w:rsidRPr="00C01DED">
        <w:rPr>
          <w:rFonts w:ascii="Times New Roman" w:hAnsi="Times New Roman" w:cs="Times New Roman"/>
          <w:b/>
          <w:bCs/>
          <w:sz w:val="24"/>
          <w:szCs w:val="24"/>
        </w:rPr>
        <w:t xml:space="preserve">GULBENES NOVADA </w:t>
      </w:r>
      <w:r w:rsidR="00C57ACE" w:rsidRPr="00C01DED">
        <w:rPr>
          <w:rFonts w:ascii="Times New Roman" w:hAnsi="Times New Roman" w:cs="Times New Roman"/>
          <w:b/>
          <w:bCs/>
          <w:sz w:val="24"/>
          <w:szCs w:val="24"/>
        </w:rPr>
        <w:t xml:space="preserve">PAŠVALDĪBAS </w:t>
      </w:r>
      <w:r w:rsidRPr="00C01DED">
        <w:rPr>
          <w:rFonts w:ascii="Times New Roman" w:hAnsi="Times New Roman" w:cs="Times New Roman"/>
          <w:b/>
          <w:bCs/>
          <w:sz w:val="24"/>
          <w:szCs w:val="24"/>
        </w:rPr>
        <w:t>DOMES LĒMUMS</w:t>
      </w:r>
    </w:p>
    <w:p w14:paraId="12AA2BB2" w14:textId="77777777" w:rsidR="00704E82" w:rsidRPr="00C01DED" w:rsidRDefault="00704E82" w:rsidP="00704E82">
      <w:pPr>
        <w:pStyle w:val="Bezatstarpm"/>
        <w:jc w:val="center"/>
        <w:rPr>
          <w:rFonts w:ascii="Times New Roman" w:hAnsi="Times New Roman" w:cs="Times New Roman"/>
          <w:sz w:val="24"/>
          <w:szCs w:val="24"/>
        </w:rPr>
      </w:pPr>
      <w:r w:rsidRPr="00C01DE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01DED" w:rsidRPr="00C01DED" w14:paraId="1924BFB3" w14:textId="77777777" w:rsidTr="00704E82">
        <w:tc>
          <w:tcPr>
            <w:tcW w:w="4676" w:type="dxa"/>
          </w:tcPr>
          <w:p w14:paraId="255B16BF" w14:textId="693482A8" w:rsidR="008F3920" w:rsidRPr="00C01DED" w:rsidRDefault="00253B4E" w:rsidP="00CA15C5">
            <w:pPr>
              <w:rPr>
                <w:rFonts w:ascii="Times New Roman" w:hAnsi="Times New Roman" w:cs="Times New Roman"/>
                <w:b/>
                <w:bCs/>
                <w:sz w:val="24"/>
                <w:szCs w:val="24"/>
              </w:rPr>
            </w:pPr>
            <w:r w:rsidRPr="00C01DED">
              <w:rPr>
                <w:rFonts w:ascii="Times New Roman" w:hAnsi="Times New Roman" w:cs="Times New Roman"/>
                <w:b/>
                <w:bCs/>
                <w:sz w:val="24"/>
                <w:szCs w:val="24"/>
              </w:rPr>
              <w:t>2026</w:t>
            </w:r>
            <w:r w:rsidR="00704E82" w:rsidRPr="00C01DED">
              <w:rPr>
                <w:rFonts w:ascii="Times New Roman" w:hAnsi="Times New Roman" w:cs="Times New Roman"/>
                <w:b/>
                <w:bCs/>
                <w:sz w:val="24"/>
                <w:szCs w:val="24"/>
              </w:rPr>
              <w:t>.gada</w:t>
            </w:r>
            <w:r w:rsidR="00FE2ADA" w:rsidRPr="00C01DED">
              <w:rPr>
                <w:rFonts w:ascii="Times New Roman" w:hAnsi="Times New Roman" w:cs="Times New Roman"/>
                <w:b/>
                <w:bCs/>
                <w:sz w:val="24"/>
                <w:szCs w:val="24"/>
              </w:rPr>
              <w:t xml:space="preserve"> </w:t>
            </w:r>
            <w:r w:rsidRPr="00C01DED">
              <w:rPr>
                <w:rFonts w:ascii="Times New Roman" w:hAnsi="Times New Roman" w:cs="Times New Roman"/>
                <w:b/>
                <w:bCs/>
                <w:sz w:val="24"/>
                <w:szCs w:val="24"/>
              </w:rPr>
              <w:t>30.jūlijā</w:t>
            </w:r>
          </w:p>
        </w:tc>
        <w:tc>
          <w:tcPr>
            <w:tcW w:w="4678" w:type="dxa"/>
          </w:tcPr>
          <w:p w14:paraId="32845103" w14:textId="79C8B4AA" w:rsidR="00704E82" w:rsidRPr="00C01DED" w:rsidRDefault="00704E82" w:rsidP="007A7472">
            <w:pPr>
              <w:rPr>
                <w:rFonts w:ascii="Times New Roman" w:hAnsi="Times New Roman" w:cs="Times New Roman"/>
                <w:b/>
                <w:bCs/>
                <w:sz w:val="24"/>
                <w:szCs w:val="24"/>
              </w:rPr>
            </w:pPr>
            <w:r w:rsidRPr="00C01DED">
              <w:rPr>
                <w:rFonts w:ascii="Times New Roman" w:hAnsi="Times New Roman" w:cs="Times New Roman"/>
                <w:b/>
                <w:bCs/>
                <w:sz w:val="24"/>
                <w:szCs w:val="24"/>
              </w:rPr>
              <w:t xml:space="preserve">                               Nr. </w:t>
            </w:r>
            <w:r w:rsidR="00FE2ADA" w:rsidRPr="00C01DED">
              <w:rPr>
                <w:rFonts w:ascii="Times New Roman" w:hAnsi="Times New Roman" w:cs="Times New Roman"/>
                <w:b/>
                <w:bCs/>
                <w:sz w:val="24"/>
                <w:szCs w:val="24"/>
              </w:rPr>
              <w:t>GND/202</w:t>
            </w:r>
            <w:r w:rsidR="00253B4E" w:rsidRPr="00C01DED">
              <w:rPr>
                <w:rFonts w:ascii="Times New Roman" w:hAnsi="Times New Roman" w:cs="Times New Roman"/>
                <w:b/>
                <w:bCs/>
                <w:sz w:val="24"/>
                <w:szCs w:val="24"/>
              </w:rPr>
              <w:t>6</w:t>
            </w:r>
            <w:r w:rsidRPr="00C01DED">
              <w:rPr>
                <w:rFonts w:ascii="Times New Roman" w:hAnsi="Times New Roman" w:cs="Times New Roman"/>
                <w:b/>
                <w:bCs/>
                <w:sz w:val="24"/>
                <w:szCs w:val="24"/>
              </w:rPr>
              <w:t>/</w:t>
            </w:r>
          </w:p>
        </w:tc>
      </w:tr>
      <w:tr w:rsidR="00704E82" w:rsidRPr="00C01DED" w14:paraId="6A44ECDC" w14:textId="77777777" w:rsidTr="00704E82">
        <w:tc>
          <w:tcPr>
            <w:tcW w:w="4676" w:type="dxa"/>
          </w:tcPr>
          <w:p w14:paraId="31DB072D" w14:textId="77777777" w:rsidR="00704E82" w:rsidRPr="00C01DED" w:rsidRDefault="00704E82" w:rsidP="00F0532A">
            <w:pPr>
              <w:rPr>
                <w:rFonts w:ascii="Times New Roman" w:hAnsi="Times New Roman" w:cs="Times New Roman"/>
                <w:sz w:val="24"/>
                <w:szCs w:val="24"/>
              </w:rPr>
            </w:pPr>
          </w:p>
        </w:tc>
        <w:tc>
          <w:tcPr>
            <w:tcW w:w="4678" w:type="dxa"/>
          </w:tcPr>
          <w:p w14:paraId="3AAF1853" w14:textId="4E5ECB7C" w:rsidR="00704E82" w:rsidRPr="00C01DED" w:rsidRDefault="00704E82" w:rsidP="00F0532A">
            <w:pPr>
              <w:rPr>
                <w:rFonts w:ascii="Times New Roman" w:hAnsi="Times New Roman" w:cs="Times New Roman"/>
                <w:b/>
                <w:bCs/>
                <w:sz w:val="24"/>
                <w:szCs w:val="24"/>
              </w:rPr>
            </w:pPr>
            <w:r w:rsidRPr="00C01DED">
              <w:rPr>
                <w:rFonts w:ascii="Times New Roman" w:hAnsi="Times New Roman" w:cs="Times New Roman"/>
                <w:b/>
                <w:bCs/>
                <w:sz w:val="24"/>
                <w:szCs w:val="24"/>
              </w:rPr>
              <w:t xml:space="preserve">                               (protokols Nr.</w:t>
            </w:r>
            <w:r w:rsidR="002233C6" w:rsidRPr="00C01DED">
              <w:rPr>
                <w:rFonts w:ascii="Times New Roman" w:hAnsi="Times New Roman" w:cs="Times New Roman"/>
                <w:b/>
                <w:bCs/>
                <w:sz w:val="24"/>
                <w:szCs w:val="24"/>
              </w:rPr>
              <w:t xml:space="preserve">; </w:t>
            </w:r>
            <w:r w:rsidRPr="00C01DED">
              <w:rPr>
                <w:rFonts w:ascii="Times New Roman" w:hAnsi="Times New Roman" w:cs="Times New Roman"/>
                <w:b/>
                <w:bCs/>
                <w:sz w:val="24"/>
                <w:szCs w:val="24"/>
              </w:rPr>
              <w:t>.p.)</w:t>
            </w:r>
          </w:p>
        </w:tc>
      </w:tr>
    </w:tbl>
    <w:p w14:paraId="713FA36A" w14:textId="77777777" w:rsidR="00704E82" w:rsidRPr="00C01DED" w:rsidRDefault="00704E82" w:rsidP="00704E82">
      <w:pPr>
        <w:rPr>
          <w:rFonts w:ascii="Times New Roman" w:hAnsi="Times New Roman" w:cs="Times New Roman"/>
          <w:sz w:val="24"/>
          <w:szCs w:val="24"/>
        </w:rPr>
      </w:pPr>
    </w:p>
    <w:p w14:paraId="6AD481B2" w14:textId="6E5EEBCD" w:rsidR="006A76DE" w:rsidRPr="00C01DED" w:rsidRDefault="00326B60" w:rsidP="006A76DE">
      <w:pPr>
        <w:pStyle w:val="Default"/>
        <w:jc w:val="center"/>
        <w:rPr>
          <w:b/>
          <w:szCs w:val="24"/>
        </w:rPr>
      </w:pPr>
      <w:r w:rsidRPr="00C01DED">
        <w:rPr>
          <w:b/>
          <w:szCs w:val="24"/>
        </w:rPr>
        <w:t xml:space="preserve">Par </w:t>
      </w:r>
      <w:r w:rsidR="007D67A4" w:rsidRPr="00C01DED">
        <w:rPr>
          <w:b/>
          <w:szCs w:val="24"/>
        </w:rPr>
        <w:t>kustamās mantas – kokmateriālu 53,752 m</w:t>
      </w:r>
      <w:r w:rsidR="007D67A4" w:rsidRPr="000D0DB7">
        <w:rPr>
          <w:b/>
          <w:szCs w:val="24"/>
          <w:vertAlign w:val="superscript"/>
        </w:rPr>
        <w:t>3</w:t>
      </w:r>
      <w:r w:rsidR="007D67A4" w:rsidRPr="00C01DED">
        <w:rPr>
          <w:b/>
          <w:szCs w:val="24"/>
        </w:rPr>
        <w:t xml:space="preserve"> apjomā,</w:t>
      </w:r>
    </w:p>
    <w:p w14:paraId="680DC2E0" w14:textId="15B4A882" w:rsidR="00FC7F25" w:rsidRPr="00C01DED" w:rsidRDefault="00721FF2" w:rsidP="006A76DE">
      <w:pPr>
        <w:pStyle w:val="Default"/>
        <w:spacing w:after="240"/>
        <w:jc w:val="center"/>
        <w:rPr>
          <w:b/>
          <w:szCs w:val="24"/>
        </w:rPr>
      </w:pPr>
      <w:r w:rsidRPr="00C01DED">
        <w:rPr>
          <w:b/>
          <w:szCs w:val="24"/>
        </w:rPr>
        <w:t xml:space="preserve"> </w:t>
      </w:r>
      <w:r w:rsidR="00253B4E" w:rsidRPr="00C01DED">
        <w:rPr>
          <w:b/>
          <w:szCs w:val="24"/>
        </w:rPr>
        <w:t>atsavināšanas atcelšanu</w:t>
      </w:r>
    </w:p>
    <w:p w14:paraId="1AE56A82" w14:textId="60027824" w:rsidR="00F52FDA" w:rsidRPr="00C01DED" w:rsidRDefault="000926AF" w:rsidP="00F52FDA">
      <w:pPr>
        <w:pStyle w:val="Parasts1"/>
        <w:spacing w:after="0" w:line="360" w:lineRule="auto"/>
        <w:ind w:firstLine="567"/>
        <w:jc w:val="both"/>
        <w:rPr>
          <w:rFonts w:cs="Times New Roman"/>
          <w:color w:val="auto"/>
        </w:rPr>
      </w:pPr>
      <w:r w:rsidRPr="00C01DED">
        <w:rPr>
          <w:color w:val="auto"/>
        </w:rPr>
        <w:t>Gulbenes novada</w:t>
      </w:r>
      <w:r w:rsidR="008A1DA6" w:rsidRPr="00C01DED">
        <w:rPr>
          <w:color w:val="auto"/>
        </w:rPr>
        <w:t xml:space="preserve"> pašvaldības</w:t>
      </w:r>
      <w:r w:rsidRPr="00C01DED">
        <w:rPr>
          <w:color w:val="auto"/>
        </w:rPr>
        <w:t xml:space="preserve"> dome </w:t>
      </w:r>
      <w:bookmarkStart w:id="0" w:name="_Hlk231283923"/>
      <w:r w:rsidR="007D67A4" w:rsidRPr="00C01DED">
        <w:rPr>
          <w:color w:val="auto"/>
        </w:rPr>
        <w:t>2026.gada 28.maijā pieņēma lēmumu Nr. GND/2026/394 “Par kustamās mantas – kokmateriāliem 53,752 m</w:t>
      </w:r>
      <w:r w:rsidR="007D67A4" w:rsidRPr="000D0DB7">
        <w:rPr>
          <w:color w:val="auto"/>
          <w:vertAlign w:val="superscript"/>
        </w:rPr>
        <w:t xml:space="preserve">3 </w:t>
      </w:r>
      <w:r w:rsidR="007D67A4" w:rsidRPr="00C01DED">
        <w:rPr>
          <w:color w:val="auto"/>
        </w:rPr>
        <w:t xml:space="preserve">apjomā, pirmās izsoles rīkošanu, izsoles noteikumu un sākumcenas apstiprināšanu” (protokols Nr. </w:t>
      </w:r>
      <w:bookmarkEnd w:id="0"/>
      <w:r w:rsidR="007D67A4" w:rsidRPr="00C01DED">
        <w:rPr>
          <w:color w:val="auto"/>
        </w:rPr>
        <w:t>9; 49</w:t>
      </w:r>
      <w:r w:rsidR="008D0350" w:rsidRPr="00C01DED">
        <w:rPr>
          <w:color w:val="auto"/>
        </w:rPr>
        <w:t>.p</w:t>
      </w:r>
      <w:r w:rsidR="002B3B27" w:rsidRPr="00C01DED">
        <w:rPr>
          <w:color w:val="auto"/>
        </w:rPr>
        <w:t>.</w:t>
      </w:r>
      <w:r w:rsidR="00FB4505" w:rsidRPr="00C01DED">
        <w:rPr>
          <w:color w:val="auto"/>
        </w:rPr>
        <w:t>)</w:t>
      </w:r>
      <w:r w:rsidR="00FD6B54" w:rsidRPr="00C01DED">
        <w:rPr>
          <w:color w:val="auto"/>
        </w:rPr>
        <w:t xml:space="preserve">, ar kuru nolēma nodot </w:t>
      </w:r>
      <w:r w:rsidR="007D67A4" w:rsidRPr="00C01DED">
        <w:rPr>
          <w:rFonts w:cs="Times New Roman"/>
          <w:color w:val="auto"/>
        </w:rPr>
        <w:t>atklātā mutiskā izsolē ar augšupejošu soli</w:t>
      </w:r>
      <w:r w:rsidR="007D67A4" w:rsidRPr="00C01DED">
        <w:rPr>
          <w:color w:val="auto"/>
        </w:rPr>
        <w:t xml:space="preserve"> </w:t>
      </w:r>
      <w:r w:rsidR="007D67A4" w:rsidRPr="00C01DED">
        <w:rPr>
          <w:rFonts w:cs="Times New Roman"/>
          <w:color w:val="auto"/>
        </w:rPr>
        <w:t>Gulbenes novada pašvaldības īpašumā esošo kustamo mantu – kokmateriālus ar kopējo apjomu 53,752 m</w:t>
      </w:r>
      <w:r w:rsidR="007D67A4" w:rsidRPr="00C01DED">
        <w:rPr>
          <w:rFonts w:cs="Times New Roman"/>
          <w:color w:val="auto"/>
          <w:vertAlign w:val="superscript"/>
        </w:rPr>
        <w:t>3</w:t>
      </w:r>
      <w:r w:rsidR="007D67A4" w:rsidRPr="00C01DED">
        <w:rPr>
          <w:rFonts w:cs="Times New Roman"/>
          <w:color w:val="auto"/>
        </w:rPr>
        <w:t>, kas atrodas krautuvē nekustamā īpašuma Parka iela 4, Gulbenē, Gulbenes novadā, kadastra numurs 5001 005 0112, sastāvā ietilpstošajā zemes vienībā ar kadastra apzīmējumu 50010050112 (sortiments: bērza tehnoloģiskā koksne (faktiskais garums 2,5 m, sortimenta garums 2,5 m) 31,523 m</w:t>
      </w:r>
      <w:r w:rsidR="007D67A4" w:rsidRPr="00C01DED">
        <w:rPr>
          <w:rFonts w:cs="Times New Roman"/>
          <w:color w:val="auto"/>
          <w:vertAlign w:val="superscript"/>
        </w:rPr>
        <w:t>3</w:t>
      </w:r>
      <w:r w:rsidR="007D67A4" w:rsidRPr="00C01DED">
        <w:rPr>
          <w:rFonts w:cs="Times New Roman"/>
          <w:color w:val="auto"/>
        </w:rPr>
        <w:t>, bērza tehnoloģiskā koksne (faktiskais garums 2,7 m, sortimenta garums 2,5 m) 9,432 m</w:t>
      </w:r>
      <w:r w:rsidR="007D67A4" w:rsidRPr="00C01DED">
        <w:rPr>
          <w:rFonts w:cs="Times New Roman"/>
          <w:color w:val="auto"/>
          <w:vertAlign w:val="superscript"/>
        </w:rPr>
        <w:t>3</w:t>
      </w:r>
      <w:r w:rsidR="007D67A4" w:rsidRPr="00C01DED">
        <w:rPr>
          <w:rFonts w:cs="Times New Roman"/>
          <w:color w:val="auto"/>
        </w:rPr>
        <w:t>, egles gulšņi 1,660 m</w:t>
      </w:r>
      <w:r w:rsidR="007D67A4" w:rsidRPr="00C01DED">
        <w:rPr>
          <w:rFonts w:cs="Times New Roman"/>
          <w:color w:val="auto"/>
          <w:vertAlign w:val="superscript"/>
        </w:rPr>
        <w:t>3</w:t>
      </w:r>
      <w:r w:rsidR="007D67A4" w:rsidRPr="00C01DED">
        <w:rPr>
          <w:rFonts w:cs="Times New Roman"/>
          <w:color w:val="auto"/>
        </w:rPr>
        <w:t>, egles tehnoloģiskā koksne 0,190 m</w:t>
      </w:r>
      <w:r w:rsidR="007D67A4" w:rsidRPr="00C01DED">
        <w:rPr>
          <w:rFonts w:cs="Times New Roman"/>
          <w:color w:val="auto"/>
          <w:vertAlign w:val="superscript"/>
        </w:rPr>
        <w:t>3</w:t>
      </w:r>
      <w:r w:rsidR="007D67A4" w:rsidRPr="00C01DED">
        <w:rPr>
          <w:rFonts w:cs="Times New Roman"/>
          <w:color w:val="auto"/>
        </w:rPr>
        <w:t>, priedes gulšņi 1,428 m</w:t>
      </w:r>
      <w:r w:rsidR="007D67A4" w:rsidRPr="00C01DED">
        <w:rPr>
          <w:rFonts w:cs="Times New Roman"/>
          <w:color w:val="auto"/>
          <w:vertAlign w:val="superscript"/>
        </w:rPr>
        <w:t>3</w:t>
      </w:r>
      <w:r w:rsidR="007D67A4" w:rsidRPr="00C01DED">
        <w:rPr>
          <w:rFonts w:cs="Times New Roman"/>
          <w:color w:val="auto"/>
        </w:rPr>
        <w:t>, priedes tehnoloģiskā koksne 0,159 m</w:t>
      </w:r>
      <w:r w:rsidR="007D67A4" w:rsidRPr="00C01DED">
        <w:rPr>
          <w:rFonts w:cs="Times New Roman"/>
          <w:color w:val="auto"/>
          <w:vertAlign w:val="superscript"/>
        </w:rPr>
        <w:t>3</w:t>
      </w:r>
      <w:r w:rsidR="007D67A4" w:rsidRPr="00C01DED">
        <w:rPr>
          <w:rFonts w:cs="Times New Roman"/>
          <w:color w:val="auto"/>
        </w:rPr>
        <w:t>, bērza tehnoloģiskā koksne 9,360 m</w:t>
      </w:r>
      <w:r w:rsidR="007D67A4" w:rsidRPr="00C01DED">
        <w:rPr>
          <w:rFonts w:cs="Times New Roman"/>
          <w:color w:val="auto"/>
          <w:vertAlign w:val="superscript"/>
        </w:rPr>
        <w:t>3</w:t>
      </w:r>
      <w:r w:rsidR="007D67A4" w:rsidRPr="00C01DED">
        <w:rPr>
          <w:rFonts w:cs="Times New Roman"/>
          <w:color w:val="auto"/>
        </w:rPr>
        <w:t xml:space="preserve">) </w:t>
      </w:r>
      <w:r w:rsidR="00EA7238" w:rsidRPr="00C01DED">
        <w:rPr>
          <w:rFonts w:cs="Times New Roman"/>
          <w:color w:val="auto"/>
        </w:rPr>
        <w:t xml:space="preserve">(turpmāk – Kustamā manta) </w:t>
      </w:r>
      <w:r w:rsidR="007D67A4" w:rsidRPr="00C01DED">
        <w:rPr>
          <w:color w:val="auto"/>
        </w:rPr>
        <w:t xml:space="preserve">un rīkot </w:t>
      </w:r>
      <w:r w:rsidR="007D67A4" w:rsidRPr="00C01DED">
        <w:rPr>
          <w:rFonts w:cs="Times New Roman"/>
          <w:color w:val="auto"/>
        </w:rPr>
        <w:t>pirmo izsoli, apstiprināt izsoles noteikumus un nosacīto cenu</w:t>
      </w:r>
      <w:r w:rsidR="007D67A4" w:rsidRPr="00C01DED">
        <w:rPr>
          <w:color w:val="auto"/>
        </w:rPr>
        <w:t xml:space="preserve">. </w:t>
      </w:r>
      <w:r w:rsidR="007D67A4" w:rsidRPr="00C01DED">
        <w:rPr>
          <w:rFonts w:cs="Times New Roman"/>
          <w:color w:val="auto"/>
        </w:rPr>
        <w:t xml:space="preserve">Pirmās izsoles apstiprinātā nosacītā cena (izsoles sākumcena) 1983 EUR (viens tūkstotis deviņi simti astoņdesmit trīs </w:t>
      </w:r>
      <w:proofErr w:type="spellStart"/>
      <w:r w:rsidR="007D67A4" w:rsidRPr="00C01DED">
        <w:rPr>
          <w:rFonts w:cs="Times New Roman"/>
          <w:i/>
          <w:color w:val="auto"/>
        </w:rPr>
        <w:t>euro</w:t>
      </w:r>
      <w:proofErr w:type="spellEnd"/>
      <w:r w:rsidR="007D67A4" w:rsidRPr="00C01DED">
        <w:rPr>
          <w:rFonts w:cs="Times New Roman"/>
          <w:color w:val="auto"/>
        </w:rPr>
        <w:t xml:space="preserve">). Uz </w:t>
      </w:r>
      <w:r w:rsidR="007D67A4" w:rsidRPr="00C01DED">
        <w:rPr>
          <w:color w:val="auto"/>
        </w:rPr>
        <w:t>2026</w:t>
      </w:r>
      <w:r w:rsidR="007D67A4" w:rsidRPr="00C01DED">
        <w:rPr>
          <w:rFonts w:cs="Times New Roman"/>
          <w:color w:val="auto"/>
        </w:rPr>
        <w:t xml:space="preserve">.gada </w:t>
      </w:r>
      <w:r w:rsidR="007D67A4" w:rsidRPr="00C01DED">
        <w:rPr>
          <w:color w:val="auto"/>
        </w:rPr>
        <w:t>17.jūnijā</w:t>
      </w:r>
      <w:r w:rsidR="007D67A4" w:rsidRPr="00C01DED">
        <w:rPr>
          <w:rFonts w:cs="Times New Roman"/>
          <w:color w:val="auto"/>
        </w:rPr>
        <w:t xml:space="preserve"> rīkoto izsoli (pirmā izsole) nepieteicās neviens pretendents</w:t>
      </w:r>
      <w:r w:rsidR="00FD6B54" w:rsidRPr="00C01DED">
        <w:rPr>
          <w:rFonts w:cs="Times New Roman"/>
          <w:color w:val="auto"/>
        </w:rPr>
        <w:t xml:space="preserve">.  </w:t>
      </w:r>
    </w:p>
    <w:p w14:paraId="1DC7F31C" w14:textId="19A532F2" w:rsidR="007D67A4" w:rsidRPr="00C01DED" w:rsidRDefault="007D67A4" w:rsidP="00FD6B54">
      <w:pPr>
        <w:pStyle w:val="Parasts1"/>
        <w:spacing w:after="0" w:line="360" w:lineRule="auto"/>
        <w:ind w:firstLine="567"/>
        <w:jc w:val="both"/>
        <w:rPr>
          <w:rFonts w:cs="Times New Roman"/>
          <w:color w:val="auto"/>
        </w:rPr>
      </w:pPr>
      <w:r w:rsidRPr="00C01DED">
        <w:rPr>
          <w:rFonts w:cs="Times New Roman"/>
          <w:color w:val="auto"/>
        </w:rPr>
        <w:t>Saskaņā ar Gulbenes novada pašvaldības domes 2026.gada 28.maija lēmum</w:t>
      </w:r>
      <w:r w:rsidR="00E16547">
        <w:rPr>
          <w:rFonts w:cs="Times New Roman"/>
          <w:color w:val="auto"/>
        </w:rPr>
        <w:t>u</w:t>
      </w:r>
      <w:r w:rsidRPr="00C01DED">
        <w:rPr>
          <w:rFonts w:cs="Times New Roman"/>
          <w:color w:val="auto"/>
        </w:rPr>
        <w:t xml:space="preserve"> Nr.</w:t>
      </w:r>
      <w:r w:rsidR="00E16547">
        <w:rPr>
          <w:rFonts w:cs="Times New Roman"/>
          <w:color w:val="auto"/>
        </w:rPr>
        <w:t> </w:t>
      </w:r>
      <w:r w:rsidRPr="00C01DED">
        <w:rPr>
          <w:rFonts w:cs="Times New Roman"/>
          <w:color w:val="auto"/>
        </w:rPr>
        <w:t>GND/2026/394 “Par kustamās mantas – kokmateriāliem 53,752 m</w:t>
      </w:r>
      <w:r w:rsidRPr="000D0DB7">
        <w:rPr>
          <w:rFonts w:cs="Times New Roman"/>
          <w:color w:val="auto"/>
          <w:vertAlign w:val="superscript"/>
        </w:rPr>
        <w:t>3</w:t>
      </w:r>
      <w:r w:rsidRPr="00C01DED">
        <w:rPr>
          <w:rFonts w:cs="Times New Roman"/>
          <w:color w:val="auto"/>
        </w:rPr>
        <w:t xml:space="preserve"> apjomā, pirmās izsoles rīkošanu, izsoles noteikumu un sākumcenas apstiprināšanu” (protokols Nr. 9; 49.p.) pielikuma “Gulbenes novada pašvaldības kustamās mantas – kokmateriālu 53,752 m</w:t>
      </w:r>
      <w:r w:rsidRPr="000D0DB7">
        <w:rPr>
          <w:rFonts w:cs="Times New Roman"/>
          <w:color w:val="auto"/>
          <w:vertAlign w:val="superscript"/>
        </w:rPr>
        <w:t>3</w:t>
      </w:r>
      <w:r w:rsidRPr="00C01DED">
        <w:rPr>
          <w:rFonts w:cs="Times New Roman"/>
          <w:color w:val="auto"/>
        </w:rPr>
        <w:t xml:space="preserve"> apjomā, pirmās izsoles noteikumi” 7.1.1.punktu, kas nosaka, ka objekta izsole uzskatāma par nenotikušu, ja uz izsoli nav reģistrēts neviens izsoles dalībnieks</w:t>
      </w:r>
      <w:r w:rsidR="001C7650" w:rsidRPr="00C01DED">
        <w:rPr>
          <w:rFonts w:cs="Times New Roman"/>
          <w:color w:val="auto"/>
        </w:rPr>
        <w:t>. Līdz ar to kustamās mantas</w:t>
      </w:r>
      <w:r w:rsidRPr="00C01DED">
        <w:rPr>
          <w:rFonts w:cs="Times New Roman"/>
          <w:color w:val="auto"/>
        </w:rPr>
        <w:t xml:space="preserve"> izsole uzskatāma par nesekmīgu.</w:t>
      </w:r>
    </w:p>
    <w:p w14:paraId="7894568B" w14:textId="03D2E374" w:rsidR="007D67A4" w:rsidRPr="00C01DED" w:rsidRDefault="007D67A4" w:rsidP="000D073F">
      <w:pPr>
        <w:pStyle w:val="Parasts1"/>
        <w:spacing w:after="0" w:line="360" w:lineRule="auto"/>
        <w:ind w:firstLine="567"/>
        <w:jc w:val="both"/>
        <w:rPr>
          <w:color w:val="auto"/>
        </w:rPr>
      </w:pPr>
      <w:r w:rsidRPr="005C3362">
        <w:rPr>
          <w:color w:val="auto"/>
        </w:rPr>
        <w:t xml:space="preserve">Publiskas personas mantas atsavināšanas likuma 32.panta ceturtā daļa nosaka, </w:t>
      </w:r>
      <w:r w:rsidR="00C01DED" w:rsidRPr="005C3362">
        <w:rPr>
          <w:color w:val="auto"/>
        </w:rPr>
        <w:t>j</w:t>
      </w:r>
      <w:r w:rsidRPr="005C3362">
        <w:rPr>
          <w:color w:val="auto"/>
        </w:rPr>
        <w:t>a kustamās</w:t>
      </w:r>
      <w:r w:rsidRPr="00C01DED">
        <w:rPr>
          <w:color w:val="auto"/>
        </w:rPr>
        <w:t xml:space="preserve"> mantas pirmā izsole ir nesekmīga, institūcija, kas organizē mantas pārdošanu (</w:t>
      </w:r>
      <w:hyperlink r:id="rId6" w:anchor="p9" w:history="1">
        <w:r w:rsidRPr="00C01DED">
          <w:rPr>
            <w:rStyle w:val="Hipersaite"/>
            <w:color w:val="auto"/>
            <w:u w:val="none"/>
          </w:rPr>
          <w:t>9.pants</w:t>
        </w:r>
      </w:hyperlink>
      <w:r w:rsidRPr="00C01DED">
        <w:rPr>
          <w:color w:val="auto"/>
        </w:rPr>
        <w:t>), var ierosināt citu šajā likumā paredzēto atsavināšanas veidu (</w:t>
      </w:r>
      <w:hyperlink r:id="rId7" w:anchor="p3" w:history="1">
        <w:r w:rsidRPr="00C01DED">
          <w:rPr>
            <w:rStyle w:val="Hipersaite"/>
            <w:color w:val="auto"/>
            <w:u w:val="none"/>
          </w:rPr>
          <w:t>3. </w:t>
        </w:r>
      </w:hyperlink>
      <w:r w:rsidRPr="00C01DED">
        <w:rPr>
          <w:color w:val="auto"/>
        </w:rPr>
        <w:t>un </w:t>
      </w:r>
      <w:hyperlink r:id="rId8" w:anchor="p7" w:history="1">
        <w:r w:rsidRPr="00C01DED">
          <w:rPr>
            <w:rStyle w:val="Hipersaite"/>
            <w:color w:val="auto"/>
            <w:u w:val="none"/>
          </w:rPr>
          <w:t>7.pants</w:t>
        </w:r>
      </w:hyperlink>
      <w:r w:rsidRPr="00C01DED">
        <w:rPr>
          <w:color w:val="auto"/>
        </w:rPr>
        <w:t xml:space="preserve">), t.i., kustamo mantu var atsavināt pārdodot izsolē, tai skaitā izsolē ar pretendentu atlasi; pārdodot par brīvu cenu; apmainot pret citu mantu; ieguldot kapitālsabiedrības pamatkapitālā; nododot piegādātājam un izdarot </w:t>
      </w:r>
      <w:r w:rsidRPr="00C01DED">
        <w:rPr>
          <w:color w:val="auto"/>
        </w:rPr>
        <w:lastRenderedPageBreak/>
        <w:t>ieskaitu (ja manta ir iepirkta); nododot bez atlīdzības.</w:t>
      </w:r>
    </w:p>
    <w:p w14:paraId="56F0ED65" w14:textId="227C89B1" w:rsidR="007D67A4" w:rsidRPr="00C01DED" w:rsidRDefault="000D073F" w:rsidP="000D073F">
      <w:pPr>
        <w:pStyle w:val="Parasts1"/>
        <w:spacing w:after="0" w:line="360" w:lineRule="auto"/>
        <w:ind w:firstLine="567"/>
        <w:jc w:val="both"/>
        <w:rPr>
          <w:rFonts w:cs="Times New Roman"/>
          <w:color w:val="auto"/>
        </w:rPr>
      </w:pPr>
      <w:r w:rsidRPr="00C01DED">
        <w:rPr>
          <w:rFonts w:cs="Times New Roman"/>
          <w:color w:val="auto"/>
        </w:rPr>
        <w:t>Izvērtējot pirmās izsoles rezultātus un iespējamos turpmākos atsavināšanas veidus, komisija secina, ka atsavināšanas procesa turpināšana nav lietderīga, jo nav objektīva pamata prognozēt sekmīgu mantas atsavināšanu, savukārt turpmāka procesa organizēšana nenodrošinātu racionālu publiskās mantas izmantošanu. Kustamas mantas saglabāšana un izmantošana pašvaldības vajadzībām nodrošina racionālāku un efektīvāku publiskās mantas izmantošanu nekā tās atsavināšana. Tādēļ lietderīgi ir atcelt lēmumu par kustamās mantas atsavināšanu.</w:t>
      </w:r>
    </w:p>
    <w:p w14:paraId="23536F75" w14:textId="4F306886" w:rsidR="00CE7B38" w:rsidRDefault="00CE7B38" w:rsidP="00CE7B38">
      <w:pPr>
        <w:pStyle w:val="Parasts1"/>
        <w:spacing w:after="0" w:line="360" w:lineRule="auto"/>
        <w:ind w:firstLine="567"/>
        <w:jc w:val="both"/>
        <w:rPr>
          <w:rFonts w:eastAsia="Times New Roman" w:cs="Times New Roman"/>
          <w:color w:val="auto"/>
          <w:lang w:eastAsia="lv-LV" w:bidi="ar-SA"/>
        </w:rPr>
      </w:pPr>
      <w:r w:rsidRPr="005C3362">
        <w:rPr>
          <w:rFonts w:eastAsia="Times New Roman" w:cs="Times New Roman"/>
          <w:color w:val="auto"/>
          <w:lang w:eastAsia="lv-LV" w:bidi="ar-SA"/>
        </w:rPr>
        <w:t xml:space="preserve">Administratīvā procesa likuma 83.panta otrā daļa nosaka, ka administratīvo aktu atceļ ar jaunu administratīvo aktu. Administratīvā procesa likuma 85.panta otrās daļas </w:t>
      </w:r>
      <w:r w:rsidR="00AE0939">
        <w:rPr>
          <w:rFonts w:eastAsia="Times New Roman" w:cs="Times New Roman"/>
          <w:color w:val="auto"/>
          <w:lang w:eastAsia="lv-LV" w:bidi="ar-SA"/>
        </w:rPr>
        <w:t>4</w:t>
      </w:r>
      <w:r w:rsidRPr="005C3362">
        <w:rPr>
          <w:rFonts w:eastAsia="Times New Roman" w:cs="Times New Roman"/>
          <w:color w:val="auto"/>
          <w:lang w:eastAsia="lv-LV" w:bidi="ar-SA"/>
        </w:rPr>
        <w:t>.punkts, nosaka,</w:t>
      </w:r>
      <w:r w:rsidRPr="00C01DED">
        <w:rPr>
          <w:rFonts w:eastAsia="Times New Roman" w:cs="Times New Roman"/>
          <w:color w:val="auto"/>
          <w:lang w:eastAsia="lv-LV" w:bidi="ar-SA"/>
        </w:rPr>
        <w:t xml:space="preserve"> ka adresātam labvēlīgu tiesisku administratīvo aktu var atcelt tad, ja</w:t>
      </w:r>
      <w:r w:rsidR="00AE0939">
        <w:rPr>
          <w:rFonts w:eastAsia="Times New Roman" w:cs="Times New Roman"/>
          <w:color w:val="auto"/>
          <w:lang w:eastAsia="lv-LV" w:bidi="ar-SA"/>
        </w:rPr>
        <w:t xml:space="preserve"> </w:t>
      </w:r>
      <w:r w:rsidR="00AE0939" w:rsidRPr="00AE0939">
        <w:rPr>
          <w:rFonts w:eastAsia="Times New Roman" w:cs="Times New Roman"/>
          <w:color w:val="auto"/>
          <w:lang w:eastAsia="lv-LV" w:bidi="ar-SA"/>
        </w:rPr>
        <w:t>mainījušies lietas faktiskie vai tiesiskie apstākļi, kuriem pastāvot administratīvā akta izdošanas brīdī iestāde varētu šādu administratīvo aktu neizdot, un administratīvā akta palikšana spēkā skar būtiskas sabiedrības intereses.</w:t>
      </w:r>
      <w:r w:rsidRPr="00C01DED">
        <w:rPr>
          <w:rFonts w:eastAsia="Times New Roman" w:cs="Times New Roman"/>
          <w:color w:val="auto"/>
          <w:lang w:eastAsia="lv-LV" w:bidi="ar-SA"/>
        </w:rPr>
        <w:t xml:space="preserve"> </w:t>
      </w:r>
    </w:p>
    <w:p w14:paraId="231CFF70" w14:textId="77777777" w:rsidR="00AE0939" w:rsidRPr="00AE0939" w:rsidRDefault="00AE0939" w:rsidP="00AE0939">
      <w:pPr>
        <w:pStyle w:val="Parasts1"/>
        <w:spacing w:after="0" w:line="360" w:lineRule="auto"/>
        <w:ind w:firstLine="567"/>
        <w:jc w:val="both"/>
        <w:rPr>
          <w:color w:val="auto"/>
        </w:rPr>
      </w:pPr>
      <w:r>
        <w:rPr>
          <w:color w:val="auto"/>
        </w:rPr>
        <w:t xml:space="preserve">Saskaņā ar </w:t>
      </w:r>
      <w:r w:rsidRPr="005C3362">
        <w:rPr>
          <w:color w:val="auto"/>
        </w:rPr>
        <w:t xml:space="preserve">Publiskas personas mantas atsavināšanas likuma </w:t>
      </w:r>
      <w:r>
        <w:rPr>
          <w:color w:val="auto"/>
        </w:rPr>
        <w:t>4</w:t>
      </w:r>
      <w:r w:rsidRPr="005C3362">
        <w:rPr>
          <w:color w:val="auto"/>
        </w:rPr>
        <w:t>.panta</w:t>
      </w:r>
      <w:r>
        <w:rPr>
          <w:color w:val="auto"/>
        </w:rPr>
        <w:t xml:space="preserve"> pirmo daļu a</w:t>
      </w:r>
      <w:r w:rsidRPr="00AE0939">
        <w:rPr>
          <w:color w:val="auto"/>
        </w:rPr>
        <w:t>tvasinātas publiskas personas mantas atsavināšanu var ierosināt, ja tā nav nepieciešama attiecīgai atvasinātai publiskai personai vai tās iestādēm to funkciju nodrošināšanai.</w:t>
      </w:r>
      <w:r>
        <w:rPr>
          <w:color w:val="auto"/>
        </w:rPr>
        <w:t xml:space="preserve"> </w:t>
      </w:r>
    </w:p>
    <w:p w14:paraId="160293D4" w14:textId="77777777" w:rsidR="00FD6B54" w:rsidRPr="00C01DED" w:rsidRDefault="00FD6B54" w:rsidP="00FD6B54">
      <w:pPr>
        <w:pStyle w:val="Parasts1"/>
        <w:spacing w:after="0" w:line="360" w:lineRule="auto"/>
        <w:ind w:firstLine="567"/>
        <w:jc w:val="both"/>
        <w:rPr>
          <w:color w:val="auto"/>
        </w:rPr>
      </w:pPr>
      <w:r w:rsidRPr="005C3362">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w:t>
      </w:r>
      <w:r w:rsidRPr="00C01DED">
        <w:rPr>
          <w:color w:val="auto"/>
        </w:rPr>
        <w:t xml:space="preserve"> kompetences jautājumu; tikai domes kompetencē ir pieņemt lēmumus citos ārējos normatīvajos aktos paredzētajos gadījumos. </w:t>
      </w:r>
    </w:p>
    <w:p w14:paraId="6A6A3A5B" w14:textId="1E55584A" w:rsidR="00FD6B54" w:rsidRPr="005C3362" w:rsidRDefault="00FD6B54" w:rsidP="00FD6B54">
      <w:pPr>
        <w:pStyle w:val="Parasts1"/>
        <w:spacing w:after="0" w:line="360" w:lineRule="auto"/>
        <w:ind w:firstLine="567"/>
        <w:jc w:val="both"/>
        <w:rPr>
          <w:color w:val="auto"/>
        </w:rPr>
      </w:pPr>
      <w:r w:rsidRPr="005C3362">
        <w:rPr>
          <w:color w:val="auto"/>
        </w:rPr>
        <w:t>Pamatojoties uz Pašvaldību likuma 10.panta pirmās daļas 16.punktu un 21.punktu, Publiskas personas mantas atsavināšanas likuma</w:t>
      </w:r>
      <w:r w:rsidR="00AE0939">
        <w:rPr>
          <w:color w:val="auto"/>
        </w:rPr>
        <w:t xml:space="preserve"> 4. panta pirmo daļu, </w:t>
      </w:r>
      <w:r w:rsidR="00EA7238" w:rsidRPr="005C3362">
        <w:rPr>
          <w:color w:val="auto"/>
        </w:rPr>
        <w:t xml:space="preserve">32.panta ceturtā daļu, </w:t>
      </w:r>
      <w:r w:rsidR="00CE7B38" w:rsidRPr="005C3362">
        <w:rPr>
          <w:rFonts w:eastAsia="Times New Roman" w:cs="Times New Roman"/>
          <w:color w:val="auto"/>
          <w:lang w:eastAsia="lv-LV" w:bidi="ar-SA"/>
        </w:rPr>
        <w:t xml:space="preserve">Administratīvā procesa likuma 83.panta otrā daļu, 85.panta otrās daļas </w:t>
      </w:r>
      <w:r w:rsidR="00AE0939">
        <w:rPr>
          <w:rFonts w:eastAsia="Times New Roman" w:cs="Times New Roman"/>
          <w:color w:val="auto"/>
          <w:lang w:eastAsia="lv-LV" w:bidi="ar-SA"/>
        </w:rPr>
        <w:t>4</w:t>
      </w:r>
      <w:r w:rsidR="00CE7B38" w:rsidRPr="005C3362">
        <w:rPr>
          <w:rFonts w:eastAsia="Times New Roman" w:cs="Times New Roman"/>
          <w:color w:val="auto"/>
          <w:lang w:eastAsia="lv-LV" w:bidi="ar-SA"/>
        </w:rPr>
        <w:t>.punktu,</w:t>
      </w:r>
      <w:r w:rsidR="00CE7B38" w:rsidRPr="005C3362">
        <w:rPr>
          <w:color w:val="auto"/>
        </w:rPr>
        <w:t xml:space="preserve"> </w:t>
      </w:r>
      <w:r w:rsidRPr="005C3362">
        <w:rPr>
          <w:color w:val="auto"/>
        </w:rPr>
        <w:t xml:space="preserve">saskaņā ar Gulbenes novada pašvaldības īpašuma novērtēšanas un izsoļu komisijas </w:t>
      </w:r>
      <w:r w:rsidR="00083516" w:rsidRPr="005C3362">
        <w:rPr>
          <w:color w:val="auto"/>
        </w:rPr>
        <w:t>2026</w:t>
      </w:r>
      <w:r w:rsidRPr="005C3362">
        <w:rPr>
          <w:color w:val="auto"/>
        </w:rPr>
        <w:t xml:space="preserve">.gada </w:t>
      </w:r>
      <w:r w:rsidR="00083516" w:rsidRPr="005C3362">
        <w:rPr>
          <w:color w:val="auto"/>
        </w:rPr>
        <w:t>2.jūlija</w:t>
      </w:r>
      <w:r w:rsidRPr="005C3362">
        <w:rPr>
          <w:color w:val="auto"/>
        </w:rPr>
        <w:t xml:space="preserve"> sēdes lēmumu</w:t>
      </w:r>
      <w:r w:rsidR="00083516" w:rsidRPr="005C3362">
        <w:rPr>
          <w:color w:val="auto"/>
        </w:rPr>
        <w:t xml:space="preserve"> (</w:t>
      </w:r>
      <w:r w:rsidRPr="005C3362">
        <w:rPr>
          <w:color w:val="auto"/>
        </w:rPr>
        <w:t>protokols Nr. GND/2.7.2/2</w:t>
      </w:r>
      <w:r w:rsidR="00083516" w:rsidRPr="005C3362">
        <w:rPr>
          <w:color w:val="auto"/>
        </w:rPr>
        <w:t>6</w:t>
      </w:r>
      <w:r w:rsidRPr="005C3362">
        <w:rPr>
          <w:color w:val="auto"/>
        </w:rPr>
        <w:t>/</w:t>
      </w:r>
      <w:r w:rsidR="00083516" w:rsidRPr="005C3362">
        <w:rPr>
          <w:color w:val="auto"/>
        </w:rPr>
        <w:t>13</w:t>
      </w:r>
      <w:r w:rsidRPr="005C3362">
        <w:rPr>
          <w:color w:val="auto"/>
        </w:rPr>
        <w:t xml:space="preserve"> (</w:t>
      </w:r>
      <w:r w:rsidR="005C3362" w:rsidRPr="005C3362">
        <w:rPr>
          <w:color w:val="auto"/>
        </w:rPr>
        <w:t>24</w:t>
      </w:r>
      <w:r w:rsidRPr="005C3362">
        <w:rPr>
          <w:color w:val="auto"/>
        </w:rPr>
        <w:t>.§)</w:t>
      </w:r>
      <w:r w:rsidR="00083516" w:rsidRPr="005C3362">
        <w:rPr>
          <w:color w:val="auto"/>
        </w:rPr>
        <w:t>)</w:t>
      </w:r>
      <w:r w:rsidRPr="005C3362">
        <w:rPr>
          <w:color w:val="auto"/>
        </w:rPr>
        <w:t xml:space="preserve">, </w:t>
      </w:r>
      <w:r w:rsidR="00CE7B38" w:rsidRPr="005C3362">
        <w:rPr>
          <w:rFonts w:cs="Times New Roman"/>
          <w:color w:val="auto"/>
        </w:rPr>
        <w:t xml:space="preserve">un ņemot vērā Attīstības un tautsaimniecības komitejas un Finanšu komitejas apvienotās sēdes ieteikumu, atklāti balsojot: </w:t>
      </w:r>
      <w:r w:rsidR="00CE7B38" w:rsidRPr="005C3362">
        <w:rPr>
          <w:noProof/>
          <w:color w:val="auto"/>
        </w:rPr>
        <w:t>ar  balsīm “Par” ( ), “Pret” – , “Atturas” – , “Nepiedalās” – , Gulbenes novada pašvaldības dome NOLEMJ</w:t>
      </w:r>
      <w:r w:rsidRPr="005C3362">
        <w:rPr>
          <w:color w:val="auto"/>
        </w:rPr>
        <w:t>:</w:t>
      </w:r>
    </w:p>
    <w:p w14:paraId="61072628" w14:textId="77777777" w:rsidR="00EA7238" w:rsidRPr="00C01DED" w:rsidRDefault="00BB6E65" w:rsidP="00BB6E65">
      <w:pPr>
        <w:spacing w:line="360" w:lineRule="auto"/>
        <w:ind w:firstLine="567"/>
        <w:jc w:val="both"/>
        <w:rPr>
          <w:rFonts w:ascii="Times New Roman" w:hAnsi="Times New Roman" w:cs="Times New Roman"/>
          <w:sz w:val="24"/>
          <w:szCs w:val="24"/>
        </w:rPr>
      </w:pPr>
      <w:r w:rsidRPr="005C3362">
        <w:rPr>
          <w:rFonts w:ascii="Times New Roman" w:hAnsi="Times New Roman" w:cs="Times New Roman"/>
          <w:sz w:val="24"/>
          <w:szCs w:val="24"/>
        </w:rPr>
        <w:t xml:space="preserve">1. </w:t>
      </w:r>
      <w:r w:rsidR="00EA7238" w:rsidRPr="005C3362">
        <w:rPr>
          <w:rFonts w:ascii="Times New Roman" w:hAnsi="Times New Roman" w:cs="Times New Roman"/>
          <w:sz w:val="24"/>
          <w:szCs w:val="24"/>
        </w:rPr>
        <w:t xml:space="preserve">ATZĪT </w:t>
      </w:r>
      <w:bookmarkStart w:id="1" w:name="_Hlk215676089"/>
      <w:r w:rsidR="00EA7238" w:rsidRPr="005C3362">
        <w:rPr>
          <w:rFonts w:ascii="Times New Roman" w:hAnsi="Times New Roman" w:cs="Times New Roman"/>
          <w:sz w:val="24"/>
          <w:szCs w:val="24"/>
        </w:rPr>
        <w:t xml:space="preserve">2026.gada 17.jūnijā rīkoto </w:t>
      </w:r>
      <w:bookmarkEnd w:id="1"/>
      <w:r w:rsidR="00EA7238" w:rsidRPr="005C3362">
        <w:rPr>
          <w:rFonts w:ascii="Times New Roman" w:hAnsi="Times New Roman" w:cs="Times New Roman"/>
          <w:sz w:val="24"/>
          <w:szCs w:val="24"/>
        </w:rPr>
        <w:t>Gulbenes novada pašvaldības īpašumā esošo kustamo</w:t>
      </w:r>
      <w:r w:rsidR="00EA7238" w:rsidRPr="00C01DED">
        <w:rPr>
          <w:rFonts w:ascii="Times New Roman" w:hAnsi="Times New Roman" w:cs="Times New Roman"/>
          <w:sz w:val="24"/>
          <w:szCs w:val="24"/>
        </w:rPr>
        <w:t xml:space="preserve"> mantu – kokmateriālus ar kopējo apjomu 53,752 m</w:t>
      </w:r>
      <w:r w:rsidR="00EA7238" w:rsidRPr="00C01DED">
        <w:rPr>
          <w:rFonts w:ascii="Times New Roman" w:hAnsi="Times New Roman" w:cs="Times New Roman"/>
          <w:sz w:val="24"/>
          <w:szCs w:val="24"/>
          <w:vertAlign w:val="superscript"/>
        </w:rPr>
        <w:t>3</w:t>
      </w:r>
      <w:r w:rsidR="00EA7238" w:rsidRPr="00C01DED">
        <w:rPr>
          <w:rFonts w:ascii="Times New Roman" w:hAnsi="Times New Roman" w:cs="Times New Roman"/>
          <w:sz w:val="24"/>
          <w:szCs w:val="24"/>
        </w:rPr>
        <w:t>, kas atrodas krautuvē nekustamā īpašuma Parka iela 4, Gulbenē, Gulbenes novadā, kadastra numurs 5001 005 0112, sastāvā ietilpstošajā zemes vienībā ar kadastra apzīmējumu 50010050112 (sortiments: bērza tehnoloģiskā koksne (faktiskais garums 2,5 m, sortimenta garums 2,5 m) 31,523 m</w:t>
      </w:r>
      <w:r w:rsidR="00EA7238" w:rsidRPr="00C01DED">
        <w:rPr>
          <w:rFonts w:ascii="Times New Roman" w:hAnsi="Times New Roman" w:cs="Times New Roman"/>
          <w:sz w:val="24"/>
          <w:szCs w:val="24"/>
          <w:vertAlign w:val="superscript"/>
        </w:rPr>
        <w:t>3</w:t>
      </w:r>
      <w:r w:rsidR="00EA7238" w:rsidRPr="00C01DED">
        <w:rPr>
          <w:rFonts w:ascii="Times New Roman" w:hAnsi="Times New Roman" w:cs="Times New Roman"/>
          <w:sz w:val="24"/>
          <w:szCs w:val="24"/>
        </w:rPr>
        <w:t>, bērza tehnoloģiskā koksne (faktiskais garums 2,7 m, sortimenta garums 2,5 m) 9,432 m</w:t>
      </w:r>
      <w:r w:rsidR="00EA7238" w:rsidRPr="00C01DED">
        <w:rPr>
          <w:rFonts w:ascii="Times New Roman" w:hAnsi="Times New Roman" w:cs="Times New Roman"/>
          <w:sz w:val="24"/>
          <w:szCs w:val="24"/>
          <w:vertAlign w:val="superscript"/>
        </w:rPr>
        <w:t>3</w:t>
      </w:r>
      <w:r w:rsidR="00EA7238" w:rsidRPr="00C01DED">
        <w:rPr>
          <w:rFonts w:ascii="Times New Roman" w:hAnsi="Times New Roman" w:cs="Times New Roman"/>
          <w:sz w:val="24"/>
          <w:szCs w:val="24"/>
        </w:rPr>
        <w:t>, egles gulšņi 1,660 m</w:t>
      </w:r>
      <w:r w:rsidR="00EA7238" w:rsidRPr="00C01DED">
        <w:rPr>
          <w:rFonts w:ascii="Times New Roman" w:hAnsi="Times New Roman" w:cs="Times New Roman"/>
          <w:sz w:val="24"/>
          <w:szCs w:val="24"/>
          <w:vertAlign w:val="superscript"/>
        </w:rPr>
        <w:t>3</w:t>
      </w:r>
      <w:r w:rsidR="00EA7238" w:rsidRPr="00C01DED">
        <w:rPr>
          <w:rFonts w:ascii="Times New Roman" w:hAnsi="Times New Roman" w:cs="Times New Roman"/>
          <w:sz w:val="24"/>
          <w:szCs w:val="24"/>
        </w:rPr>
        <w:t xml:space="preserve">, egles </w:t>
      </w:r>
      <w:r w:rsidR="00EA7238" w:rsidRPr="00C01DED">
        <w:rPr>
          <w:rFonts w:ascii="Times New Roman" w:hAnsi="Times New Roman" w:cs="Times New Roman"/>
          <w:sz w:val="24"/>
          <w:szCs w:val="24"/>
        </w:rPr>
        <w:lastRenderedPageBreak/>
        <w:t>tehnoloģiskā koksne 0,190 m</w:t>
      </w:r>
      <w:r w:rsidR="00EA7238" w:rsidRPr="00C01DED">
        <w:rPr>
          <w:rFonts w:ascii="Times New Roman" w:hAnsi="Times New Roman" w:cs="Times New Roman"/>
          <w:sz w:val="24"/>
          <w:szCs w:val="24"/>
          <w:vertAlign w:val="superscript"/>
        </w:rPr>
        <w:t>3</w:t>
      </w:r>
      <w:r w:rsidR="00EA7238" w:rsidRPr="00C01DED">
        <w:rPr>
          <w:rFonts w:ascii="Times New Roman" w:hAnsi="Times New Roman" w:cs="Times New Roman"/>
          <w:sz w:val="24"/>
          <w:szCs w:val="24"/>
        </w:rPr>
        <w:t>, priedes gulšņi 1,428 m</w:t>
      </w:r>
      <w:r w:rsidR="00EA7238" w:rsidRPr="00C01DED">
        <w:rPr>
          <w:rFonts w:ascii="Times New Roman" w:hAnsi="Times New Roman" w:cs="Times New Roman"/>
          <w:sz w:val="24"/>
          <w:szCs w:val="24"/>
          <w:vertAlign w:val="superscript"/>
        </w:rPr>
        <w:t>3</w:t>
      </w:r>
      <w:r w:rsidR="00EA7238" w:rsidRPr="00C01DED">
        <w:rPr>
          <w:rFonts w:ascii="Times New Roman" w:hAnsi="Times New Roman" w:cs="Times New Roman"/>
          <w:sz w:val="24"/>
          <w:szCs w:val="24"/>
        </w:rPr>
        <w:t>, priedes tehnoloģiskā koksne 0,159 m</w:t>
      </w:r>
      <w:r w:rsidR="00EA7238" w:rsidRPr="00C01DED">
        <w:rPr>
          <w:rFonts w:ascii="Times New Roman" w:hAnsi="Times New Roman" w:cs="Times New Roman"/>
          <w:sz w:val="24"/>
          <w:szCs w:val="24"/>
          <w:vertAlign w:val="superscript"/>
        </w:rPr>
        <w:t>3</w:t>
      </w:r>
      <w:r w:rsidR="00EA7238" w:rsidRPr="00C01DED">
        <w:rPr>
          <w:rFonts w:ascii="Times New Roman" w:hAnsi="Times New Roman" w:cs="Times New Roman"/>
          <w:sz w:val="24"/>
          <w:szCs w:val="24"/>
        </w:rPr>
        <w:t>, bērza tehnoloģiskā koksne 9,360 m</w:t>
      </w:r>
      <w:r w:rsidR="00EA7238" w:rsidRPr="00C01DED">
        <w:rPr>
          <w:rFonts w:ascii="Times New Roman" w:hAnsi="Times New Roman" w:cs="Times New Roman"/>
          <w:sz w:val="24"/>
          <w:szCs w:val="24"/>
          <w:vertAlign w:val="superscript"/>
        </w:rPr>
        <w:t>3</w:t>
      </w:r>
      <w:r w:rsidR="00EA7238" w:rsidRPr="00C01DED">
        <w:rPr>
          <w:rFonts w:ascii="Times New Roman" w:hAnsi="Times New Roman" w:cs="Times New Roman"/>
          <w:sz w:val="24"/>
          <w:szCs w:val="24"/>
        </w:rPr>
        <w:t>), pirmo izsoli par nesekmīgu.</w:t>
      </w:r>
    </w:p>
    <w:p w14:paraId="58C61AB4" w14:textId="20D4D92B" w:rsidR="00BB6E65" w:rsidRPr="00C01DED" w:rsidRDefault="00EA7238" w:rsidP="00BB6E65">
      <w:pPr>
        <w:spacing w:line="360" w:lineRule="auto"/>
        <w:ind w:firstLine="567"/>
        <w:jc w:val="both"/>
        <w:rPr>
          <w:rFonts w:ascii="Times New Roman" w:hAnsi="Times New Roman" w:cs="Times New Roman"/>
          <w:sz w:val="24"/>
          <w:szCs w:val="24"/>
        </w:rPr>
      </w:pPr>
      <w:r w:rsidRPr="00C01DED">
        <w:rPr>
          <w:rFonts w:ascii="Times New Roman" w:hAnsi="Times New Roman" w:cs="Times New Roman"/>
          <w:sz w:val="24"/>
          <w:szCs w:val="24"/>
        </w:rPr>
        <w:t xml:space="preserve">2. </w:t>
      </w:r>
      <w:r w:rsidR="00CE7B38" w:rsidRPr="00C01DED">
        <w:rPr>
          <w:rFonts w:ascii="Times New Roman" w:hAnsi="Times New Roman" w:cs="Times New Roman"/>
          <w:sz w:val="24"/>
          <w:szCs w:val="24"/>
        </w:rPr>
        <w:t xml:space="preserve">ATCELT </w:t>
      </w:r>
      <w:r w:rsidRPr="00C01DED">
        <w:rPr>
          <w:rFonts w:ascii="Times New Roman" w:hAnsi="Times New Roman" w:cs="Times New Roman"/>
          <w:sz w:val="24"/>
          <w:szCs w:val="24"/>
        </w:rPr>
        <w:t>šā lēmuma 1.punktā minētās kustamās mantas atsavināšanu</w:t>
      </w:r>
      <w:r w:rsidR="00BB6E65" w:rsidRPr="00C01DED">
        <w:rPr>
          <w:rFonts w:ascii="Times New Roman" w:hAnsi="Times New Roman" w:cs="Times New Roman"/>
          <w:sz w:val="24"/>
          <w:szCs w:val="24"/>
        </w:rPr>
        <w:t>.</w:t>
      </w:r>
    </w:p>
    <w:p w14:paraId="3E8FE39A" w14:textId="305281A9" w:rsidR="00BB6E65" w:rsidRPr="00C01DED" w:rsidRDefault="00BB6E65" w:rsidP="00BB6E65">
      <w:pPr>
        <w:spacing w:line="360" w:lineRule="auto"/>
        <w:ind w:firstLine="567"/>
        <w:jc w:val="both"/>
        <w:rPr>
          <w:rFonts w:ascii="Times New Roman" w:hAnsi="Times New Roman" w:cs="Times New Roman"/>
          <w:sz w:val="24"/>
          <w:szCs w:val="24"/>
        </w:rPr>
      </w:pPr>
    </w:p>
    <w:p w14:paraId="2368113E" w14:textId="77777777" w:rsidR="00FD6B54" w:rsidRPr="00C01DED" w:rsidRDefault="00FD6B54" w:rsidP="00016737">
      <w:pPr>
        <w:pStyle w:val="Parasts1"/>
        <w:spacing w:after="0" w:line="360" w:lineRule="auto"/>
        <w:ind w:firstLine="567"/>
        <w:jc w:val="both"/>
        <w:rPr>
          <w:color w:val="auto"/>
        </w:rPr>
      </w:pPr>
    </w:p>
    <w:p w14:paraId="64660291" w14:textId="77777777" w:rsidR="00A51DD2" w:rsidRPr="00C01DED" w:rsidRDefault="00A51DD2" w:rsidP="00A51DD2">
      <w:pPr>
        <w:spacing w:line="360" w:lineRule="auto"/>
        <w:ind w:firstLine="567"/>
        <w:jc w:val="both"/>
        <w:rPr>
          <w:rFonts w:ascii="Times New Roman" w:eastAsia="SimSun" w:hAnsi="Times New Roman" w:cs="Times New Roman"/>
          <w:sz w:val="24"/>
          <w:szCs w:val="24"/>
          <w:lang w:eastAsia="zh-CN" w:bidi="hi-IN"/>
        </w:rPr>
      </w:pPr>
      <w:r w:rsidRPr="00C01DED">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01DED">
        <w:rPr>
          <w:rFonts w:ascii="Times New Roman" w:eastAsia="SimSun" w:hAnsi="Times New Roman" w:cs="Times New Roman"/>
          <w:sz w:val="24"/>
          <w:szCs w:val="24"/>
          <w:lang w:eastAsia="zh-CN" w:bidi="hi-IN"/>
        </w:rPr>
        <w:t>rakstveidā</w:t>
      </w:r>
      <w:proofErr w:type="spellEnd"/>
      <w:r w:rsidRPr="00C01DED">
        <w:rPr>
          <w:rFonts w:ascii="Times New Roman" w:eastAsia="SimSun" w:hAnsi="Times New Roman" w:cs="Times New Roman"/>
          <w:sz w:val="24"/>
          <w:szCs w:val="24"/>
          <w:lang w:eastAsia="zh-CN" w:bidi="hi-IN"/>
        </w:rPr>
        <w:t>, mutvārdos vai citādi – , neietekmē tā stāšanos spēkā.</w:t>
      </w:r>
    </w:p>
    <w:p w14:paraId="26DCECFC" w14:textId="77777777" w:rsidR="00FD6B54" w:rsidRPr="00C01DED" w:rsidRDefault="00FD6B54" w:rsidP="008D0350">
      <w:pPr>
        <w:pStyle w:val="Parasts1"/>
        <w:spacing w:after="0" w:line="360" w:lineRule="auto"/>
        <w:ind w:firstLine="567"/>
        <w:jc w:val="both"/>
        <w:rPr>
          <w:color w:val="auto"/>
        </w:rPr>
      </w:pPr>
    </w:p>
    <w:p w14:paraId="06B88174" w14:textId="77777777" w:rsidR="00D440B2" w:rsidRPr="00C01DED" w:rsidRDefault="00D440B2" w:rsidP="00D656A6">
      <w:pPr>
        <w:spacing w:line="360" w:lineRule="auto"/>
        <w:rPr>
          <w:rFonts w:ascii="Times New Roman" w:hAnsi="Times New Roman" w:cs="Times New Roman"/>
          <w:sz w:val="24"/>
          <w:szCs w:val="24"/>
        </w:rPr>
      </w:pPr>
    </w:p>
    <w:p w14:paraId="2C47C682" w14:textId="113D89F9" w:rsidR="00D413E5" w:rsidRPr="00C01DED"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C01DED">
        <w:rPr>
          <w:rFonts w:ascii="Times New Roman" w:eastAsia="Calibri" w:hAnsi="Times New Roman" w:cs="Times New Roman"/>
          <w:sz w:val="24"/>
          <w:szCs w:val="24"/>
          <w:lang w:eastAsia="en-US"/>
        </w:rPr>
        <w:tab/>
      </w:r>
      <w:r w:rsidRPr="00C01DED">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C01DED" w14:paraId="02901818" w14:textId="77777777" w:rsidTr="007526C0">
        <w:tc>
          <w:tcPr>
            <w:tcW w:w="7508" w:type="dxa"/>
          </w:tcPr>
          <w:p w14:paraId="548388BC" w14:textId="79C6CB7D" w:rsidR="00DC1D4C" w:rsidRPr="00C01DED"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C01DED">
              <w:rPr>
                <w:rFonts w:ascii="Times New Roman" w:eastAsia="Calibri" w:hAnsi="Times New Roman" w:cs="Times New Roman"/>
                <w:sz w:val="24"/>
                <w:szCs w:val="24"/>
                <w:lang w:eastAsia="en-US"/>
              </w:rPr>
              <w:t>Gulbenes novada pašvaldības domes priekšsēdētāj</w:t>
            </w:r>
            <w:r w:rsidR="00F25251" w:rsidRPr="00C01DED">
              <w:rPr>
                <w:rFonts w:ascii="Times New Roman" w:eastAsia="Calibri" w:hAnsi="Times New Roman" w:cs="Times New Roman"/>
                <w:sz w:val="24"/>
                <w:szCs w:val="24"/>
                <w:lang w:eastAsia="en-US"/>
              </w:rPr>
              <w:t>s</w:t>
            </w:r>
          </w:p>
        </w:tc>
        <w:tc>
          <w:tcPr>
            <w:tcW w:w="1836" w:type="dxa"/>
          </w:tcPr>
          <w:p w14:paraId="552188F6" w14:textId="7E65BD15" w:rsidR="00DC1D4C" w:rsidRPr="00C01DED" w:rsidRDefault="00D17366"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sidRPr="00C01DED">
              <w:rPr>
                <w:rFonts w:ascii="Times New Roman" w:eastAsia="Calibri" w:hAnsi="Times New Roman" w:cs="Times New Roman"/>
                <w:sz w:val="24"/>
                <w:szCs w:val="24"/>
                <w:lang w:eastAsia="en-US"/>
              </w:rPr>
              <w:t>N. Mazūrs</w:t>
            </w:r>
          </w:p>
        </w:tc>
      </w:tr>
    </w:tbl>
    <w:p w14:paraId="0D5289AF" w14:textId="1F2D69FD" w:rsidR="00D656A6" w:rsidRPr="00C01DED"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C01DED"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D4584D"/>
    <w:multiLevelType w:val="hybridMultilevel"/>
    <w:tmpl w:val="976EBB06"/>
    <w:lvl w:ilvl="0" w:tplc="20F83C1E">
      <w:start w:val="1"/>
      <w:numFmt w:val="decimal"/>
      <w:lvlText w:val="%1."/>
      <w:lvlJc w:val="left"/>
      <w:pPr>
        <w:ind w:left="2628" w:hanging="36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abstractNum w:abstractNumId="2"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16cid:durableId="1262834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89113">
    <w:abstractNumId w:val="2"/>
  </w:num>
  <w:num w:numId="3" w16cid:durableId="37004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58D"/>
    <w:rsid w:val="00034AA7"/>
    <w:rsid w:val="00040856"/>
    <w:rsid w:val="00044F56"/>
    <w:rsid w:val="00053830"/>
    <w:rsid w:val="00053ABE"/>
    <w:rsid w:val="000733BB"/>
    <w:rsid w:val="0007653C"/>
    <w:rsid w:val="0007761F"/>
    <w:rsid w:val="00082EE6"/>
    <w:rsid w:val="00083516"/>
    <w:rsid w:val="00084F8E"/>
    <w:rsid w:val="000926AF"/>
    <w:rsid w:val="000A1A8C"/>
    <w:rsid w:val="000B7828"/>
    <w:rsid w:val="000C6B27"/>
    <w:rsid w:val="000D073F"/>
    <w:rsid w:val="000D0DB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43F06"/>
    <w:rsid w:val="001520B7"/>
    <w:rsid w:val="0015260A"/>
    <w:rsid w:val="001534EB"/>
    <w:rsid w:val="00170267"/>
    <w:rsid w:val="00173B63"/>
    <w:rsid w:val="001873D7"/>
    <w:rsid w:val="001959A1"/>
    <w:rsid w:val="001A3C52"/>
    <w:rsid w:val="001A5CE0"/>
    <w:rsid w:val="001B0562"/>
    <w:rsid w:val="001C2B04"/>
    <w:rsid w:val="001C7650"/>
    <w:rsid w:val="001C76B6"/>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2B49"/>
    <w:rsid w:val="002233C6"/>
    <w:rsid w:val="0023262C"/>
    <w:rsid w:val="00243F86"/>
    <w:rsid w:val="00253B4E"/>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357"/>
    <w:rsid w:val="003033C1"/>
    <w:rsid w:val="0031420C"/>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360A2"/>
    <w:rsid w:val="00446857"/>
    <w:rsid w:val="00460A17"/>
    <w:rsid w:val="00464D45"/>
    <w:rsid w:val="00465D23"/>
    <w:rsid w:val="00467395"/>
    <w:rsid w:val="00470FBB"/>
    <w:rsid w:val="00476714"/>
    <w:rsid w:val="004821B6"/>
    <w:rsid w:val="004921DE"/>
    <w:rsid w:val="004A4424"/>
    <w:rsid w:val="004A7E6A"/>
    <w:rsid w:val="004B165B"/>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3362"/>
    <w:rsid w:val="005C55AD"/>
    <w:rsid w:val="005D02ED"/>
    <w:rsid w:val="005D241B"/>
    <w:rsid w:val="005D2BC9"/>
    <w:rsid w:val="005E340F"/>
    <w:rsid w:val="005E3908"/>
    <w:rsid w:val="005E5E12"/>
    <w:rsid w:val="005F37A7"/>
    <w:rsid w:val="00615006"/>
    <w:rsid w:val="00615743"/>
    <w:rsid w:val="00617664"/>
    <w:rsid w:val="00617E89"/>
    <w:rsid w:val="00617E9B"/>
    <w:rsid w:val="00637F91"/>
    <w:rsid w:val="0064325E"/>
    <w:rsid w:val="00651505"/>
    <w:rsid w:val="00661D87"/>
    <w:rsid w:val="00667085"/>
    <w:rsid w:val="00671554"/>
    <w:rsid w:val="006A76DE"/>
    <w:rsid w:val="006B79C9"/>
    <w:rsid w:val="006C1843"/>
    <w:rsid w:val="006C32E0"/>
    <w:rsid w:val="006C64F7"/>
    <w:rsid w:val="006D087A"/>
    <w:rsid w:val="006D0CD0"/>
    <w:rsid w:val="006D0EBF"/>
    <w:rsid w:val="006E1832"/>
    <w:rsid w:val="006E65A9"/>
    <w:rsid w:val="006F77BB"/>
    <w:rsid w:val="007008F6"/>
    <w:rsid w:val="00704E82"/>
    <w:rsid w:val="00721BDD"/>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67A4"/>
    <w:rsid w:val="007D73AE"/>
    <w:rsid w:val="007E7D38"/>
    <w:rsid w:val="007F0A1C"/>
    <w:rsid w:val="007F46EC"/>
    <w:rsid w:val="007F6AA9"/>
    <w:rsid w:val="00805DD9"/>
    <w:rsid w:val="00810335"/>
    <w:rsid w:val="00810A4B"/>
    <w:rsid w:val="00816981"/>
    <w:rsid w:val="00822FD0"/>
    <w:rsid w:val="008248EF"/>
    <w:rsid w:val="00830FAF"/>
    <w:rsid w:val="00832E8E"/>
    <w:rsid w:val="00846C45"/>
    <w:rsid w:val="0085218B"/>
    <w:rsid w:val="008539BE"/>
    <w:rsid w:val="008563B1"/>
    <w:rsid w:val="00857767"/>
    <w:rsid w:val="008605B6"/>
    <w:rsid w:val="008616CE"/>
    <w:rsid w:val="008635F9"/>
    <w:rsid w:val="00867678"/>
    <w:rsid w:val="00872FFA"/>
    <w:rsid w:val="00882860"/>
    <w:rsid w:val="00885BA8"/>
    <w:rsid w:val="00887E20"/>
    <w:rsid w:val="008903DE"/>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1350"/>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1DD2"/>
    <w:rsid w:val="00A53917"/>
    <w:rsid w:val="00A60841"/>
    <w:rsid w:val="00A609A7"/>
    <w:rsid w:val="00A6217A"/>
    <w:rsid w:val="00A65654"/>
    <w:rsid w:val="00A705F4"/>
    <w:rsid w:val="00A828B2"/>
    <w:rsid w:val="00A87DC9"/>
    <w:rsid w:val="00A942E3"/>
    <w:rsid w:val="00A95DC5"/>
    <w:rsid w:val="00A965B1"/>
    <w:rsid w:val="00A9776F"/>
    <w:rsid w:val="00AA3C45"/>
    <w:rsid w:val="00AB3E40"/>
    <w:rsid w:val="00AB4665"/>
    <w:rsid w:val="00AB7F62"/>
    <w:rsid w:val="00AC18C4"/>
    <w:rsid w:val="00AC4E9A"/>
    <w:rsid w:val="00AD5AB5"/>
    <w:rsid w:val="00AD6CC6"/>
    <w:rsid w:val="00AE0939"/>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6E65"/>
    <w:rsid w:val="00BB77EE"/>
    <w:rsid w:val="00BC009C"/>
    <w:rsid w:val="00BC5A92"/>
    <w:rsid w:val="00BC60D6"/>
    <w:rsid w:val="00BC7254"/>
    <w:rsid w:val="00BD064B"/>
    <w:rsid w:val="00BD36E6"/>
    <w:rsid w:val="00BE15FB"/>
    <w:rsid w:val="00BE2829"/>
    <w:rsid w:val="00BF24FF"/>
    <w:rsid w:val="00BF6A9A"/>
    <w:rsid w:val="00C01DED"/>
    <w:rsid w:val="00C024D0"/>
    <w:rsid w:val="00C13C41"/>
    <w:rsid w:val="00C14546"/>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E7B38"/>
    <w:rsid w:val="00CF0770"/>
    <w:rsid w:val="00CF52A7"/>
    <w:rsid w:val="00D00343"/>
    <w:rsid w:val="00D012F6"/>
    <w:rsid w:val="00D01C29"/>
    <w:rsid w:val="00D03C76"/>
    <w:rsid w:val="00D10204"/>
    <w:rsid w:val="00D131A0"/>
    <w:rsid w:val="00D17366"/>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B1DEC"/>
    <w:rsid w:val="00DC1D4C"/>
    <w:rsid w:val="00DC4DBA"/>
    <w:rsid w:val="00DD0093"/>
    <w:rsid w:val="00DD0D6F"/>
    <w:rsid w:val="00DD5444"/>
    <w:rsid w:val="00DF1F01"/>
    <w:rsid w:val="00E02316"/>
    <w:rsid w:val="00E025B1"/>
    <w:rsid w:val="00E02AAB"/>
    <w:rsid w:val="00E02D2A"/>
    <w:rsid w:val="00E1191E"/>
    <w:rsid w:val="00E16547"/>
    <w:rsid w:val="00E2047A"/>
    <w:rsid w:val="00E21768"/>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A7238"/>
    <w:rsid w:val="00EB0353"/>
    <w:rsid w:val="00ED2177"/>
    <w:rsid w:val="00ED3878"/>
    <w:rsid w:val="00EE58A9"/>
    <w:rsid w:val="00EE6FEC"/>
    <w:rsid w:val="00EF2DF9"/>
    <w:rsid w:val="00F0532A"/>
    <w:rsid w:val="00F112D5"/>
    <w:rsid w:val="00F11E18"/>
    <w:rsid w:val="00F11F50"/>
    <w:rsid w:val="00F12FB3"/>
    <w:rsid w:val="00F1348E"/>
    <w:rsid w:val="00F14FB0"/>
    <w:rsid w:val="00F21364"/>
    <w:rsid w:val="00F25251"/>
    <w:rsid w:val="00F32774"/>
    <w:rsid w:val="00F32C70"/>
    <w:rsid w:val="00F37020"/>
    <w:rsid w:val="00F44BA1"/>
    <w:rsid w:val="00F47C5A"/>
    <w:rsid w:val="00F52FD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D6B54"/>
    <w:rsid w:val="00FE21CE"/>
    <w:rsid w:val="00FE2ADA"/>
    <w:rsid w:val="00FE6379"/>
    <w:rsid w:val="00FF5B7F"/>
    <w:rsid w:val="00FF5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customStyle="1" w:styleId="SarakstarindkopaRakstz">
    <w:name w:val="Saraksta rindkopa Rakstz."/>
    <w:aliases w:val="1List Paragraph Rakstz."/>
    <w:link w:val="Sarakstarindkopa"/>
    <w:uiPriority w:val="34"/>
    <w:locked/>
    <w:rsid w:val="00FD6B54"/>
    <w:rPr>
      <w:rFonts w:ascii="Arial" w:eastAsia="Times New Roman" w:hAnsi="Arial" w:cs="Arial"/>
      <w:lang w:eastAsia="lv-LV"/>
    </w:rPr>
  </w:style>
  <w:style w:type="character" w:styleId="Hipersaite">
    <w:name w:val="Hyperlink"/>
    <w:basedOn w:val="Noklusjumarindkopasfonts"/>
    <w:uiPriority w:val="99"/>
    <w:unhideWhenUsed/>
    <w:rsid w:val="00253B4E"/>
    <w:rPr>
      <w:color w:val="0563C1" w:themeColor="hyperlink"/>
      <w:u w:val="single"/>
    </w:rPr>
  </w:style>
  <w:style w:type="character" w:styleId="Neatrisintapieminana">
    <w:name w:val="Unresolved Mention"/>
    <w:basedOn w:val="Noklusjumarindkopasfonts"/>
    <w:uiPriority w:val="99"/>
    <w:semiHidden/>
    <w:unhideWhenUsed/>
    <w:rsid w:val="00253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hyperlink" Target="https://likumi.lv/ta/id/68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4289</Words>
  <Characters>2446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2025-01-31T13:10:00Z</cp:lastPrinted>
  <dcterms:created xsi:type="dcterms:W3CDTF">2026-07-23T08:31:00Z</dcterms:created>
  <dcterms:modified xsi:type="dcterms:W3CDTF">2026-07-23T08:31:00Z</dcterms:modified>
</cp:coreProperties>
</file>